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2" w:after="2"/>
        <w:ind w:left="800"/>
      </w:pPr>
      <w:r>
        <w:rPr/>
        <w:t>І. Інформація про Товариство:</w:t>
      </w:r>
    </w:p>
    <w:tbl>
      <w:tblPr>
        <w:tblW w:w="0" w:type="auto"/>
        <w:jc w:val="left"/>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4"/>
        <w:gridCol w:w="5575"/>
      </w:tblGrid>
      <w:tr>
        <w:trPr>
          <w:trHeight w:val="647" w:hRule="atLeast"/>
        </w:trPr>
        <w:tc>
          <w:tcPr>
            <w:tcW w:w="3774" w:type="dxa"/>
          </w:tcPr>
          <w:p>
            <w:pPr>
              <w:pStyle w:val="TableParagraph"/>
              <w:rPr>
                <w:sz w:val="28"/>
              </w:rPr>
            </w:pPr>
            <w:r>
              <w:rPr>
                <w:sz w:val="28"/>
              </w:rPr>
              <w:t>Повне найменування</w:t>
            </w:r>
          </w:p>
          <w:p>
            <w:pPr>
              <w:pStyle w:val="TableParagraph"/>
              <w:spacing w:line="313" w:lineRule="exact"/>
              <w:rPr>
                <w:sz w:val="28"/>
              </w:rPr>
            </w:pPr>
            <w:r>
              <w:rPr>
                <w:sz w:val="28"/>
              </w:rPr>
              <w:t>підприємства</w:t>
            </w:r>
          </w:p>
        </w:tc>
        <w:tc>
          <w:tcPr>
            <w:tcW w:w="5575" w:type="dxa"/>
          </w:tcPr>
          <w:p>
            <w:pPr>
              <w:pStyle w:val="TableParagraph"/>
              <w:rPr>
                <w:sz w:val="28"/>
              </w:rPr>
            </w:pPr>
            <w:r>
              <w:rPr>
                <w:sz w:val="28"/>
              </w:rPr>
              <w:t>Товариство з обмеженою відповідальністю</w:t>
            </w:r>
          </w:p>
          <w:p>
            <w:pPr>
              <w:pStyle w:val="TableParagraph"/>
              <w:spacing w:line="313" w:lineRule="exact"/>
              <w:rPr>
                <w:sz w:val="28"/>
              </w:rPr>
            </w:pPr>
            <w:r>
              <w:rPr>
                <w:sz w:val="28"/>
              </w:rPr>
              <w:t>«Фінансова Компанія «Фактор Груп»</w:t>
            </w:r>
          </w:p>
        </w:tc>
      </w:tr>
      <w:tr>
        <w:trPr>
          <w:trHeight w:val="643" w:hRule="atLeast"/>
        </w:trPr>
        <w:tc>
          <w:tcPr>
            <w:tcW w:w="3774" w:type="dxa"/>
          </w:tcPr>
          <w:p>
            <w:pPr>
              <w:pStyle w:val="TableParagraph"/>
              <w:rPr>
                <w:sz w:val="28"/>
              </w:rPr>
            </w:pPr>
            <w:r>
              <w:rPr>
                <w:sz w:val="28"/>
              </w:rPr>
              <w:t>Скорочене найменування</w:t>
            </w:r>
          </w:p>
          <w:p>
            <w:pPr>
              <w:pStyle w:val="TableParagraph"/>
              <w:spacing w:line="308" w:lineRule="exact"/>
              <w:rPr>
                <w:sz w:val="28"/>
              </w:rPr>
            </w:pPr>
            <w:r>
              <w:rPr>
                <w:sz w:val="28"/>
              </w:rPr>
              <w:t>підприємства</w:t>
            </w:r>
          </w:p>
        </w:tc>
        <w:tc>
          <w:tcPr>
            <w:tcW w:w="5575" w:type="dxa"/>
          </w:tcPr>
          <w:p>
            <w:pPr>
              <w:pStyle w:val="TableParagraph"/>
              <w:rPr>
                <w:sz w:val="28"/>
              </w:rPr>
            </w:pPr>
            <w:r>
              <w:rPr>
                <w:sz w:val="28"/>
              </w:rPr>
              <w:t>ТОВ «ФК «Фактор Груп»</w:t>
            </w:r>
          </w:p>
        </w:tc>
      </w:tr>
      <w:tr>
        <w:trPr>
          <w:trHeight w:val="642" w:hRule="atLeast"/>
        </w:trPr>
        <w:tc>
          <w:tcPr>
            <w:tcW w:w="3774" w:type="dxa"/>
          </w:tcPr>
          <w:p>
            <w:pPr>
              <w:pStyle w:val="TableParagraph"/>
              <w:rPr>
                <w:sz w:val="28"/>
              </w:rPr>
            </w:pPr>
            <w:r>
              <w:rPr>
                <w:sz w:val="28"/>
              </w:rPr>
              <w:t>Організаційно-правова</w:t>
            </w:r>
          </w:p>
          <w:p>
            <w:pPr>
              <w:pStyle w:val="TableParagraph"/>
              <w:spacing w:line="308" w:lineRule="exact"/>
              <w:rPr>
                <w:sz w:val="28"/>
              </w:rPr>
            </w:pPr>
            <w:r>
              <w:rPr>
                <w:sz w:val="28"/>
              </w:rPr>
              <w:t>форма підприємства</w:t>
            </w:r>
          </w:p>
        </w:tc>
        <w:tc>
          <w:tcPr>
            <w:tcW w:w="5575" w:type="dxa"/>
          </w:tcPr>
          <w:p>
            <w:pPr>
              <w:pStyle w:val="TableParagraph"/>
              <w:rPr>
                <w:sz w:val="28"/>
              </w:rPr>
            </w:pPr>
            <w:r>
              <w:rPr>
                <w:sz w:val="28"/>
              </w:rPr>
              <w:t>Товариство з обмеженою відповідальністю</w:t>
            </w:r>
          </w:p>
        </w:tc>
      </w:tr>
      <w:tr>
        <w:trPr>
          <w:trHeight w:val="321" w:hRule="atLeast"/>
        </w:trPr>
        <w:tc>
          <w:tcPr>
            <w:tcW w:w="3774" w:type="dxa"/>
          </w:tcPr>
          <w:p>
            <w:pPr>
              <w:pStyle w:val="TableParagraph"/>
              <w:spacing w:line="301" w:lineRule="exact"/>
              <w:rPr>
                <w:sz w:val="28"/>
              </w:rPr>
            </w:pPr>
            <w:r>
              <w:rPr>
                <w:sz w:val="28"/>
              </w:rPr>
              <w:t>Код ЕДРПОУ</w:t>
            </w:r>
          </w:p>
        </w:tc>
        <w:tc>
          <w:tcPr>
            <w:tcW w:w="5575" w:type="dxa"/>
          </w:tcPr>
          <w:p>
            <w:pPr>
              <w:pStyle w:val="TableParagraph"/>
              <w:spacing w:line="268" w:lineRule="exact"/>
              <w:rPr>
                <w:sz w:val="24"/>
              </w:rPr>
            </w:pPr>
            <w:r>
              <w:rPr>
                <w:sz w:val="24"/>
              </w:rPr>
              <w:t>40911449</w:t>
            </w:r>
          </w:p>
        </w:tc>
      </w:tr>
      <w:tr>
        <w:trPr>
          <w:trHeight w:val="321" w:hRule="atLeast"/>
        </w:trPr>
        <w:tc>
          <w:tcPr>
            <w:tcW w:w="3774" w:type="dxa"/>
          </w:tcPr>
          <w:p>
            <w:pPr>
              <w:pStyle w:val="TableParagraph"/>
              <w:spacing w:line="301" w:lineRule="exact"/>
              <w:rPr>
                <w:sz w:val="28"/>
              </w:rPr>
            </w:pPr>
            <w:r>
              <w:rPr>
                <w:sz w:val="28"/>
              </w:rPr>
              <w:t>Інформація про філії</w:t>
            </w:r>
          </w:p>
        </w:tc>
        <w:tc>
          <w:tcPr>
            <w:tcW w:w="5575" w:type="dxa"/>
          </w:tcPr>
          <w:p>
            <w:pPr>
              <w:pStyle w:val="TableParagraph"/>
              <w:spacing w:line="301" w:lineRule="exact"/>
              <w:rPr>
                <w:sz w:val="28"/>
              </w:rPr>
            </w:pPr>
            <w:r>
              <w:rPr>
                <w:sz w:val="28"/>
              </w:rPr>
              <w:t>відсутні</w:t>
            </w:r>
          </w:p>
        </w:tc>
      </w:tr>
      <w:tr>
        <w:trPr>
          <w:trHeight w:val="1262" w:hRule="atLeast"/>
        </w:trPr>
        <w:tc>
          <w:tcPr>
            <w:tcW w:w="3774" w:type="dxa"/>
          </w:tcPr>
          <w:p>
            <w:pPr>
              <w:pStyle w:val="TableParagraph"/>
              <w:spacing w:line="242" w:lineRule="auto"/>
              <w:ind w:right="1499"/>
              <w:rPr>
                <w:sz w:val="28"/>
              </w:rPr>
            </w:pPr>
            <w:r>
              <w:rPr>
                <w:sz w:val="28"/>
              </w:rPr>
              <w:t>Юридична адреса підприємства</w:t>
            </w:r>
          </w:p>
        </w:tc>
        <w:tc>
          <w:tcPr>
            <w:tcW w:w="5575" w:type="dxa"/>
          </w:tcPr>
          <w:p>
            <w:pPr>
              <w:pStyle w:val="TableParagraph"/>
              <w:spacing w:line="278" w:lineRule="auto"/>
              <w:rPr>
                <w:sz w:val="28"/>
              </w:rPr>
            </w:pPr>
            <w:r>
              <w:rPr>
                <w:sz w:val="28"/>
              </w:rPr>
              <w:t>04210 м. Київ, пр. Героїв Сталінграду,6 корпус 4</w:t>
            </w:r>
          </w:p>
        </w:tc>
      </w:tr>
      <w:tr>
        <w:trPr>
          <w:trHeight w:val="1267" w:hRule="atLeast"/>
        </w:trPr>
        <w:tc>
          <w:tcPr>
            <w:tcW w:w="3774" w:type="dxa"/>
          </w:tcPr>
          <w:p>
            <w:pPr>
              <w:pStyle w:val="TableParagraph"/>
              <w:spacing w:line="240" w:lineRule="auto"/>
              <w:ind w:right="1615"/>
              <w:rPr>
                <w:sz w:val="28"/>
              </w:rPr>
            </w:pPr>
            <w:r>
              <w:rPr>
                <w:sz w:val="28"/>
              </w:rPr>
              <w:t>Фактична адреса підприємства</w:t>
            </w:r>
          </w:p>
        </w:tc>
        <w:tc>
          <w:tcPr>
            <w:tcW w:w="5575" w:type="dxa"/>
          </w:tcPr>
          <w:p>
            <w:pPr>
              <w:pStyle w:val="TableParagraph"/>
              <w:spacing w:line="276" w:lineRule="auto"/>
              <w:rPr>
                <w:sz w:val="28"/>
              </w:rPr>
            </w:pPr>
            <w:r>
              <w:rPr>
                <w:sz w:val="28"/>
              </w:rPr>
              <w:t>04210 м. Київ, пр. Героїв Сталінграду,6 корпус 4</w:t>
            </w:r>
          </w:p>
        </w:tc>
      </w:tr>
      <w:tr>
        <w:trPr>
          <w:trHeight w:val="964" w:hRule="atLeast"/>
        </w:trPr>
        <w:tc>
          <w:tcPr>
            <w:tcW w:w="3774" w:type="dxa"/>
          </w:tcPr>
          <w:p>
            <w:pPr>
              <w:pStyle w:val="TableParagraph"/>
              <w:spacing w:line="240" w:lineRule="auto"/>
              <w:ind w:right="97"/>
              <w:rPr>
                <w:sz w:val="28"/>
              </w:rPr>
            </w:pPr>
            <w:r>
              <w:rPr>
                <w:sz w:val="28"/>
              </w:rPr>
              <w:t>Дата і номер запису в Єдиному державному реєстрі</w:t>
            </w:r>
          </w:p>
          <w:p>
            <w:pPr>
              <w:pStyle w:val="TableParagraph"/>
              <w:spacing w:line="308" w:lineRule="exact"/>
              <w:rPr>
                <w:sz w:val="28"/>
              </w:rPr>
            </w:pPr>
            <w:r>
              <w:rPr>
                <w:sz w:val="28"/>
              </w:rPr>
              <w:t>юридичних осіб і ФОП</w:t>
            </w:r>
          </w:p>
        </w:tc>
        <w:tc>
          <w:tcPr>
            <w:tcW w:w="5575" w:type="dxa"/>
          </w:tcPr>
          <w:p>
            <w:pPr>
              <w:pStyle w:val="TableParagraph"/>
              <w:rPr>
                <w:sz w:val="28"/>
              </w:rPr>
            </w:pPr>
            <w:r>
              <w:rPr>
                <w:sz w:val="28"/>
              </w:rPr>
              <w:t>24.10.2016 10701020000065465</w:t>
            </w:r>
          </w:p>
        </w:tc>
      </w:tr>
      <w:tr>
        <w:trPr>
          <w:trHeight w:val="321" w:hRule="atLeast"/>
        </w:trPr>
        <w:tc>
          <w:tcPr>
            <w:tcW w:w="3774" w:type="dxa"/>
          </w:tcPr>
          <w:p>
            <w:pPr>
              <w:pStyle w:val="TableParagraph"/>
              <w:spacing w:line="301" w:lineRule="exact"/>
              <w:rPr>
                <w:sz w:val="28"/>
              </w:rPr>
            </w:pPr>
            <w:r>
              <w:rPr>
                <w:sz w:val="28"/>
              </w:rPr>
              <w:t>Контактні телефони</w:t>
            </w:r>
          </w:p>
        </w:tc>
        <w:tc>
          <w:tcPr>
            <w:tcW w:w="5575" w:type="dxa"/>
          </w:tcPr>
          <w:p>
            <w:pPr>
              <w:pStyle w:val="TableParagraph"/>
              <w:spacing w:line="301" w:lineRule="exact"/>
              <w:rPr>
                <w:sz w:val="28"/>
              </w:rPr>
            </w:pPr>
            <w:r>
              <w:rPr>
                <w:sz w:val="28"/>
              </w:rPr>
              <w:t>+38 044 581-52-95</w:t>
            </w:r>
          </w:p>
        </w:tc>
      </w:tr>
      <w:tr>
        <w:trPr>
          <w:trHeight w:val="321" w:hRule="atLeast"/>
        </w:trPr>
        <w:tc>
          <w:tcPr>
            <w:tcW w:w="3774" w:type="dxa"/>
          </w:tcPr>
          <w:p>
            <w:pPr>
              <w:pStyle w:val="TableParagraph"/>
              <w:spacing w:line="301" w:lineRule="exact"/>
              <w:rPr>
                <w:sz w:val="28"/>
              </w:rPr>
            </w:pPr>
            <w:r>
              <w:rPr>
                <w:sz w:val="28"/>
              </w:rPr>
              <w:t>Факс</w:t>
            </w:r>
          </w:p>
        </w:tc>
        <w:tc>
          <w:tcPr>
            <w:tcW w:w="5575" w:type="dxa"/>
          </w:tcPr>
          <w:p>
            <w:pPr>
              <w:pStyle w:val="TableParagraph"/>
              <w:spacing w:line="240" w:lineRule="auto"/>
              <w:ind w:left="0"/>
              <w:rPr>
                <w:sz w:val="24"/>
              </w:rPr>
            </w:pPr>
          </w:p>
        </w:tc>
      </w:tr>
      <w:tr>
        <w:trPr>
          <w:trHeight w:val="321" w:hRule="atLeast"/>
        </w:trPr>
        <w:tc>
          <w:tcPr>
            <w:tcW w:w="3774" w:type="dxa"/>
          </w:tcPr>
          <w:p>
            <w:pPr>
              <w:pStyle w:val="TableParagraph"/>
              <w:spacing w:line="301" w:lineRule="exact"/>
              <w:rPr>
                <w:sz w:val="28"/>
              </w:rPr>
            </w:pPr>
            <w:r>
              <w:rPr>
                <w:sz w:val="28"/>
              </w:rPr>
              <w:t>Адреса електронної пошти</w:t>
            </w:r>
          </w:p>
        </w:tc>
        <w:tc>
          <w:tcPr>
            <w:tcW w:w="5575" w:type="dxa"/>
          </w:tcPr>
          <w:p>
            <w:pPr>
              <w:pStyle w:val="TableParagraph"/>
              <w:spacing w:line="301" w:lineRule="exact"/>
              <w:rPr>
                <w:sz w:val="28"/>
              </w:rPr>
            </w:pPr>
            <w:hyperlink r:id="rId5">
              <w:r>
                <w:rPr>
                  <w:sz w:val="28"/>
                </w:rPr>
                <w:t>fcfactorgroup@gmail.com</w:t>
              </w:r>
            </w:hyperlink>
          </w:p>
        </w:tc>
      </w:tr>
      <w:tr>
        <w:trPr>
          <w:trHeight w:val="326" w:hRule="atLeast"/>
        </w:trPr>
        <w:tc>
          <w:tcPr>
            <w:tcW w:w="3774" w:type="dxa"/>
          </w:tcPr>
          <w:p>
            <w:pPr>
              <w:pStyle w:val="TableParagraph"/>
              <w:spacing w:line="306" w:lineRule="exact"/>
              <w:rPr>
                <w:sz w:val="28"/>
              </w:rPr>
            </w:pPr>
            <w:r>
              <w:rPr>
                <w:sz w:val="28"/>
              </w:rPr>
              <w:t>Веб-сторінка</w:t>
            </w:r>
          </w:p>
        </w:tc>
        <w:tc>
          <w:tcPr>
            <w:tcW w:w="5575" w:type="dxa"/>
          </w:tcPr>
          <w:p>
            <w:pPr>
              <w:pStyle w:val="TableParagraph"/>
              <w:spacing w:line="306" w:lineRule="exact"/>
              <w:rPr>
                <w:sz w:val="28"/>
              </w:rPr>
            </w:pPr>
            <w:r>
              <w:rPr>
                <w:sz w:val="28"/>
              </w:rPr>
              <w:t>Faktorgrupp.uafin.net</w:t>
            </w:r>
          </w:p>
        </w:tc>
      </w:tr>
      <w:tr>
        <w:trPr>
          <w:trHeight w:val="643" w:hRule="atLeast"/>
        </w:trPr>
        <w:tc>
          <w:tcPr>
            <w:tcW w:w="3774" w:type="dxa"/>
          </w:tcPr>
          <w:p>
            <w:pPr>
              <w:pStyle w:val="TableParagraph"/>
              <w:rPr>
                <w:sz w:val="28"/>
              </w:rPr>
            </w:pPr>
            <w:r>
              <w:rPr>
                <w:sz w:val="28"/>
              </w:rPr>
              <w:t>Розмір зареєстрованого</w:t>
            </w:r>
          </w:p>
          <w:p>
            <w:pPr>
              <w:pStyle w:val="TableParagraph"/>
              <w:spacing w:line="308" w:lineRule="exact"/>
              <w:rPr>
                <w:sz w:val="28"/>
              </w:rPr>
            </w:pPr>
            <w:r>
              <w:rPr>
                <w:sz w:val="28"/>
              </w:rPr>
              <w:t>статутного капіталу</w:t>
            </w:r>
          </w:p>
        </w:tc>
        <w:tc>
          <w:tcPr>
            <w:tcW w:w="5575" w:type="dxa"/>
          </w:tcPr>
          <w:p>
            <w:pPr>
              <w:pStyle w:val="TableParagraph"/>
              <w:spacing w:line="240" w:lineRule="auto"/>
              <w:rPr>
                <w:rFonts w:ascii="Arial"/>
                <w:sz w:val="23"/>
              </w:rPr>
            </w:pPr>
            <w:r>
              <w:rPr>
                <w:rFonts w:ascii="Arial"/>
                <w:color w:val="747474"/>
                <w:sz w:val="23"/>
              </w:rPr>
              <w:t>9755000.00</w:t>
            </w:r>
          </w:p>
        </w:tc>
      </w:tr>
      <w:tr>
        <w:trPr>
          <w:trHeight w:val="642" w:hRule="atLeast"/>
        </w:trPr>
        <w:tc>
          <w:tcPr>
            <w:tcW w:w="3774" w:type="dxa"/>
          </w:tcPr>
          <w:p>
            <w:pPr>
              <w:pStyle w:val="TableParagraph"/>
              <w:rPr>
                <w:sz w:val="28"/>
              </w:rPr>
            </w:pPr>
            <w:r>
              <w:rPr>
                <w:sz w:val="28"/>
              </w:rPr>
              <w:t>Розмір сплаченого</w:t>
            </w:r>
          </w:p>
          <w:p>
            <w:pPr>
              <w:pStyle w:val="TableParagraph"/>
              <w:spacing w:line="308" w:lineRule="exact"/>
              <w:rPr>
                <w:sz w:val="28"/>
              </w:rPr>
            </w:pPr>
            <w:r>
              <w:rPr>
                <w:sz w:val="28"/>
              </w:rPr>
              <w:t>статутного капіталу</w:t>
            </w:r>
          </w:p>
        </w:tc>
        <w:tc>
          <w:tcPr>
            <w:tcW w:w="5575" w:type="dxa"/>
          </w:tcPr>
          <w:p>
            <w:pPr>
              <w:pStyle w:val="TableParagraph"/>
              <w:spacing w:line="240" w:lineRule="auto"/>
              <w:rPr>
                <w:rFonts w:ascii="Arial"/>
                <w:sz w:val="23"/>
              </w:rPr>
            </w:pPr>
            <w:r>
              <w:rPr>
                <w:rFonts w:ascii="Arial"/>
                <w:color w:val="747474"/>
                <w:sz w:val="23"/>
              </w:rPr>
              <w:t>9755000.00</w:t>
            </w:r>
          </w:p>
        </w:tc>
      </w:tr>
      <w:tr>
        <w:trPr>
          <w:trHeight w:val="1324" w:hRule="atLeast"/>
        </w:trPr>
        <w:tc>
          <w:tcPr>
            <w:tcW w:w="3774" w:type="dxa"/>
          </w:tcPr>
          <w:p>
            <w:pPr>
              <w:pStyle w:val="TableParagraph"/>
              <w:spacing w:line="240" w:lineRule="auto"/>
              <w:ind w:right="595"/>
              <w:rPr>
                <w:sz w:val="28"/>
              </w:rPr>
            </w:pPr>
            <w:r>
              <w:rPr>
                <w:sz w:val="28"/>
              </w:rPr>
              <w:t>Вид діяльності по КВЕД- 2010</w:t>
            </w:r>
          </w:p>
        </w:tc>
        <w:tc>
          <w:tcPr>
            <w:tcW w:w="5575" w:type="dxa"/>
          </w:tcPr>
          <w:p>
            <w:pPr>
              <w:pStyle w:val="TableParagraph"/>
              <w:spacing w:line="240" w:lineRule="auto"/>
              <w:ind w:right="94"/>
              <w:jc w:val="both"/>
              <w:rPr>
                <w:rFonts w:ascii="Arial" w:hAnsi="Arial"/>
                <w:sz w:val="23"/>
              </w:rPr>
            </w:pPr>
            <w:r>
              <w:rPr>
                <w:rFonts w:ascii="Arial" w:hAnsi="Arial"/>
                <w:color w:val="747474"/>
                <w:sz w:val="23"/>
              </w:rPr>
              <w:t>Код КВЕД 64.92 Інші види кредитування (основний);</w:t>
            </w:r>
          </w:p>
          <w:p>
            <w:pPr>
              <w:pStyle w:val="TableParagraph"/>
              <w:spacing w:line="264" w:lineRule="exact" w:before="4"/>
              <w:ind w:right="99"/>
              <w:jc w:val="both"/>
              <w:rPr>
                <w:rFonts w:ascii="Arial" w:hAnsi="Arial"/>
                <w:sz w:val="23"/>
              </w:rPr>
            </w:pPr>
            <w:r>
              <w:rPr>
                <w:rFonts w:ascii="Arial" w:hAnsi="Arial"/>
                <w:color w:val="747474"/>
                <w:sz w:val="23"/>
              </w:rPr>
              <w:t>Код</w:t>
            </w:r>
            <w:r>
              <w:rPr>
                <w:rFonts w:ascii="Arial" w:hAnsi="Arial"/>
                <w:color w:val="747474"/>
                <w:spacing w:val="-14"/>
                <w:sz w:val="23"/>
              </w:rPr>
              <w:t> </w:t>
            </w:r>
            <w:r>
              <w:rPr>
                <w:rFonts w:ascii="Arial" w:hAnsi="Arial"/>
                <w:color w:val="747474"/>
                <w:sz w:val="23"/>
              </w:rPr>
              <w:t>КВЕД</w:t>
            </w:r>
            <w:r>
              <w:rPr>
                <w:rFonts w:ascii="Arial" w:hAnsi="Arial"/>
                <w:color w:val="747474"/>
                <w:spacing w:val="-16"/>
                <w:sz w:val="23"/>
              </w:rPr>
              <w:t> </w:t>
            </w:r>
            <w:r>
              <w:rPr>
                <w:rFonts w:ascii="Arial" w:hAnsi="Arial"/>
                <w:color w:val="747474"/>
                <w:sz w:val="23"/>
              </w:rPr>
              <w:t>64.99</w:t>
            </w:r>
            <w:r>
              <w:rPr>
                <w:rFonts w:ascii="Arial" w:hAnsi="Arial"/>
                <w:color w:val="747474"/>
                <w:spacing w:val="-16"/>
                <w:sz w:val="23"/>
              </w:rPr>
              <w:t> </w:t>
            </w:r>
            <w:r>
              <w:rPr>
                <w:rFonts w:ascii="Arial" w:hAnsi="Arial"/>
                <w:color w:val="747474"/>
                <w:sz w:val="23"/>
              </w:rPr>
              <w:t>Надання</w:t>
            </w:r>
            <w:r>
              <w:rPr>
                <w:rFonts w:ascii="Arial" w:hAnsi="Arial"/>
                <w:color w:val="747474"/>
                <w:spacing w:val="-13"/>
                <w:sz w:val="23"/>
              </w:rPr>
              <w:t> </w:t>
            </w:r>
            <w:r>
              <w:rPr>
                <w:rFonts w:ascii="Arial" w:hAnsi="Arial"/>
                <w:color w:val="747474"/>
                <w:sz w:val="23"/>
              </w:rPr>
              <w:t>інших</w:t>
            </w:r>
            <w:r>
              <w:rPr>
                <w:rFonts w:ascii="Arial" w:hAnsi="Arial"/>
                <w:color w:val="747474"/>
                <w:spacing w:val="-14"/>
                <w:sz w:val="23"/>
              </w:rPr>
              <w:t> </w:t>
            </w:r>
            <w:r>
              <w:rPr>
                <w:rFonts w:ascii="Arial" w:hAnsi="Arial"/>
                <w:color w:val="747474"/>
                <w:sz w:val="23"/>
              </w:rPr>
              <w:t>фінансових</w:t>
            </w:r>
            <w:r>
              <w:rPr>
                <w:rFonts w:ascii="Arial" w:hAnsi="Arial"/>
                <w:color w:val="747474"/>
                <w:spacing w:val="-17"/>
                <w:sz w:val="23"/>
              </w:rPr>
              <w:t> </w:t>
            </w:r>
            <w:r>
              <w:rPr>
                <w:rFonts w:ascii="Arial" w:hAnsi="Arial"/>
                <w:color w:val="747474"/>
                <w:sz w:val="23"/>
              </w:rPr>
              <w:t>послуг (крім страхування та пенсійного забезпечення), н. в. і.</w:t>
            </w:r>
            <w:r>
              <w:rPr>
                <w:rFonts w:ascii="Arial" w:hAnsi="Arial"/>
                <w:color w:val="747474"/>
                <w:spacing w:val="-4"/>
                <w:sz w:val="23"/>
              </w:rPr>
              <w:t> </w:t>
            </w:r>
            <w:r>
              <w:rPr>
                <w:rFonts w:ascii="Arial" w:hAnsi="Arial"/>
                <w:color w:val="747474"/>
                <w:sz w:val="23"/>
              </w:rPr>
              <w:t>у.</w:t>
            </w:r>
          </w:p>
        </w:tc>
      </w:tr>
      <w:tr>
        <w:trPr>
          <w:trHeight w:val="1286" w:hRule="atLeast"/>
        </w:trPr>
        <w:tc>
          <w:tcPr>
            <w:tcW w:w="3774" w:type="dxa"/>
          </w:tcPr>
          <w:p>
            <w:pPr>
              <w:pStyle w:val="TableParagraph"/>
              <w:rPr>
                <w:sz w:val="28"/>
              </w:rPr>
            </w:pPr>
            <w:r>
              <w:rPr>
                <w:sz w:val="28"/>
              </w:rPr>
              <w:t>Реєстраційний номер</w:t>
            </w:r>
          </w:p>
          <w:p>
            <w:pPr>
              <w:pStyle w:val="TableParagraph"/>
              <w:spacing w:line="240" w:lineRule="auto"/>
              <w:rPr>
                <w:sz w:val="28"/>
              </w:rPr>
            </w:pPr>
            <w:r>
              <w:rPr>
                <w:sz w:val="28"/>
              </w:rPr>
              <w:t>Серія і номер Свідоцтва про реєстрацію фінансової</w:t>
            </w:r>
          </w:p>
          <w:p>
            <w:pPr>
              <w:pStyle w:val="TableParagraph"/>
              <w:spacing w:line="308" w:lineRule="exact"/>
              <w:rPr>
                <w:sz w:val="28"/>
              </w:rPr>
            </w:pPr>
            <w:r>
              <w:rPr>
                <w:sz w:val="28"/>
              </w:rPr>
              <w:t>установи</w:t>
            </w:r>
          </w:p>
        </w:tc>
        <w:tc>
          <w:tcPr>
            <w:tcW w:w="5575" w:type="dxa"/>
          </w:tcPr>
          <w:p>
            <w:pPr>
              <w:pStyle w:val="TableParagraph"/>
              <w:rPr>
                <w:sz w:val="28"/>
              </w:rPr>
            </w:pPr>
            <w:r>
              <w:rPr>
                <w:sz w:val="28"/>
              </w:rPr>
              <w:t>ФК №843 від 22.12.2016</w:t>
            </w:r>
          </w:p>
        </w:tc>
      </w:tr>
      <w:tr>
        <w:trPr>
          <w:trHeight w:val="642" w:hRule="atLeast"/>
        </w:trPr>
        <w:tc>
          <w:tcPr>
            <w:tcW w:w="3774" w:type="dxa"/>
          </w:tcPr>
          <w:p>
            <w:pPr>
              <w:pStyle w:val="TableParagraph"/>
              <w:rPr>
                <w:sz w:val="28"/>
              </w:rPr>
            </w:pPr>
            <w:r>
              <w:rPr>
                <w:sz w:val="28"/>
              </w:rPr>
              <w:t>Можливі користувачі</w:t>
            </w:r>
          </w:p>
          <w:p>
            <w:pPr>
              <w:pStyle w:val="TableParagraph"/>
              <w:spacing w:line="308" w:lineRule="exact"/>
              <w:rPr>
                <w:sz w:val="28"/>
              </w:rPr>
            </w:pPr>
            <w:r>
              <w:rPr>
                <w:sz w:val="28"/>
              </w:rPr>
              <w:t>фінансової звітності</w:t>
            </w:r>
          </w:p>
        </w:tc>
        <w:tc>
          <w:tcPr>
            <w:tcW w:w="5575" w:type="dxa"/>
          </w:tcPr>
          <w:p>
            <w:pPr>
              <w:pStyle w:val="TableParagraph"/>
              <w:spacing w:line="240" w:lineRule="auto"/>
              <w:ind w:left="0"/>
              <w:rPr>
                <w:sz w:val="26"/>
              </w:rPr>
            </w:pPr>
          </w:p>
        </w:tc>
      </w:tr>
      <w:tr>
        <w:trPr>
          <w:trHeight w:val="642" w:hRule="atLeast"/>
        </w:trPr>
        <w:tc>
          <w:tcPr>
            <w:tcW w:w="3774" w:type="dxa"/>
          </w:tcPr>
          <w:p>
            <w:pPr>
              <w:pStyle w:val="TableParagraph"/>
              <w:rPr>
                <w:sz w:val="28"/>
              </w:rPr>
            </w:pPr>
            <w:r>
              <w:rPr>
                <w:sz w:val="28"/>
              </w:rPr>
              <w:t>Форми ведення</w:t>
            </w:r>
          </w:p>
          <w:p>
            <w:pPr>
              <w:pStyle w:val="TableParagraph"/>
              <w:spacing w:line="308" w:lineRule="exact"/>
              <w:rPr>
                <w:sz w:val="28"/>
              </w:rPr>
            </w:pPr>
            <w:r>
              <w:rPr>
                <w:sz w:val="28"/>
              </w:rPr>
              <w:t>бухгалтерського обліку</w:t>
            </w:r>
          </w:p>
        </w:tc>
        <w:tc>
          <w:tcPr>
            <w:tcW w:w="5575" w:type="dxa"/>
          </w:tcPr>
          <w:p>
            <w:pPr>
              <w:pStyle w:val="TableParagraph"/>
              <w:rPr>
                <w:sz w:val="28"/>
              </w:rPr>
            </w:pPr>
            <w:r>
              <w:rPr>
                <w:sz w:val="28"/>
              </w:rPr>
              <w:t>Головний бухгалтер</w:t>
            </w:r>
          </w:p>
        </w:tc>
      </w:tr>
      <w:tr>
        <w:trPr>
          <w:trHeight w:val="969" w:hRule="atLeast"/>
        </w:trPr>
        <w:tc>
          <w:tcPr>
            <w:tcW w:w="3774" w:type="dxa"/>
          </w:tcPr>
          <w:p>
            <w:pPr>
              <w:pStyle w:val="TableParagraph"/>
              <w:spacing w:line="322" w:lineRule="exact" w:before="2"/>
              <w:ind w:right="100"/>
              <w:jc w:val="both"/>
              <w:rPr>
                <w:sz w:val="28"/>
              </w:rPr>
            </w:pPr>
            <w:r>
              <w:rPr>
                <w:sz w:val="28"/>
              </w:rPr>
              <w:t>ДПІ, в якій підприємство зареєстровано як платник податків</w:t>
            </w:r>
          </w:p>
        </w:tc>
        <w:tc>
          <w:tcPr>
            <w:tcW w:w="5575" w:type="dxa"/>
          </w:tcPr>
          <w:p>
            <w:pPr>
              <w:pStyle w:val="TableParagraph"/>
              <w:tabs>
                <w:tab w:pos="642" w:val="left" w:leader="none"/>
                <w:tab w:pos="1362" w:val="left" w:leader="none"/>
                <w:tab w:pos="1756" w:val="left" w:leader="none"/>
                <w:tab w:pos="2979" w:val="left" w:leader="none"/>
                <w:tab w:pos="5081" w:val="left" w:leader="none"/>
              </w:tabs>
              <w:spacing w:line="237" w:lineRule="auto"/>
              <w:ind w:right="87"/>
              <w:rPr>
                <w:sz w:val="24"/>
              </w:rPr>
            </w:pPr>
            <w:r>
              <w:rPr>
                <w:sz w:val="24"/>
              </w:rPr>
              <w:t>ГУ</w:t>
              <w:tab/>
              <w:t>ДПС</w:t>
              <w:tab/>
              <w:t>У</w:t>
              <w:tab/>
              <w:t>М.КИЄВІ</w:t>
              <w:tab/>
              <w:t>(ОБОЛОНСЬКИЙ</w:t>
              <w:tab/>
            </w:r>
            <w:r>
              <w:rPr>
                <w:spacing w:val="-4"/>
                <w:sz w:val="24"/>
              </w:rPr>
              <w:t>Р-Н </w:t>
            </w:r>
            <w:r>
              <w:rPr>
                <w:sz w:val="24"/>
              </w:rPr>
              <w:t>М.КИЄВА)</w:t>
            </w:r>
          </w:p>
        </w:tc>
      </w:tr>
    </w:tbl>
    <w:p>
      <w:pPr>
        <w:spacing w:after="0" w:line="237" w:lineRule="auto"/>
        <w:rPr>
          <w:sz w:val="24"/>
        </w:rPr>
        <w:sectPr>
          <w:type w:val="continuous"/>
          <w:pgSz w:w="11910" w:h="16840"/>
          <w:pgMar w:top="1040" w:bottom="280" w:left="1500" w:right="740"/>
        </w:sectPr>
      </w:pPr>
    </w:p>
    <w:tbl>
      <w:tblPr>
        <w:tblW w:w="0" w:type="auto"/>
        <w:jc w:val="left"/>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4"/>
        <w:gridCol w:w="5575"/>
      </w:tblGrid>
      <w:tr>
        <w:trPr>
          <w:trHeight w:val="2577" w:hRule="atLeast"/>
        </w:trPr>
        <w:tc>
          <w:tcPr>
            <w:tcW w:w="3774" w:type="dxa"/>
          </w:tcPr>
          <w:p>
            <w:pPr>
              <w:pStyle w:val="TableParagraph"/>
              <w:spacing w:line="310" w:lineRule="exact"/>
              <w:rPr>
                <w:sz w:val="28"/>
              </w:rPr>
            </w:pPr>
            <w:r>
              <w:rPr>
                <w:sz w:val="28"/>
              </w:rPr>
              <w:t>Ліцензії товариства</w:t>
            </w:r>
          </w:p>
        </w:tc>
        <w:tc>
          <w:tcPr>
            <w:tcW w:w="5575" w:type="dxa"/>
          </w:tcPr>
          <w:p>
            <w:pPr>
              <w:pStyle w:val="TableParagraph"/>
              <w:spacing w:line="240" w:lineRule="auto"/>
              <w:rPr>
                <w:sz w:val="28"/>
              </w:rPr>
            </w:pPr>
            <w:r>
              <w:rPr>
                <w:sz w:val="28"/>
              </w:rPr>
              <w:t>Надання послуг з факторингу - розпорядження Нацкомфінпослуг від 13.04.2017 №1129</w:t>
            </w:r>
          </w:p>
          <w:p>
            <w:pPr>
              <w:pStyle w:val="TableParagraph"/>
              <w:spacing w:line="240" w:lineRule="auto"/>
              <w:rPr>
                <w:sz w:val="28"/>
              </w:rPr>
            </w:pPr>
            <w:r>
              <w:rPr>
                <w:sz w:val="28"/>
              </w:rPr>
              <w:t>Надання коштів у позику, в тому числі і на умовах фінансового кредиту</w:t>
            </w:r>
          </w:p>
          <w:p>
            <w:pPr>
              <w:pStyle w:val="TableParagraph"/>
              <w:spacing w:line="240" w:lineRule="auto"/>
              <w:rPr>
                <w:sz w:val="28"/>
              </w:rPr>
            </w:pPr>
            <w:r>
              <w:rPr>
                <w:sz w:val="28"/>
              </w:rPr>
              <w:t>- розпорядження Нацкомфінпослуг від 13.04.2017 №1129</w:t>
            </w:r>
          </w:p>
        </w:tc>
      </w:tr>
      <w:tr>
        <w:trPr>
          <w:trHeight w:val="964" w:hRule="atLeast"/>
        </w:trPr>
        <w:tc>
          <w:tcPr>
            <w:tcW w:w="3774" w:type="dxa"/>
          </w:tcPr>
          <w:p>
            <w:pPr>
              <w:pStyle w:val="TableParagraph"/>
              <w:spacing w:line="310" w:lineRule="exact"/>
              <w:rPr>
                <w:sz w:val="28"/>
              </w:rPr>
            </w:pPr>
            <w:r>
              <w:rPr>
                <w:sz w:val="28"/>
              </w:rPr>
              <w:t>Середня кількість</w:t>
            </w:r>
          </w:p>
          <w:p>
            <w:pPr>
              <w:pStyle w:val="TableParagraph"/>
              <w:spacing w:line="322" w:lineRule="exact" w:before="4"/>
              <w:ind w:right="97"/>
              <w:rPr>
                <w:sz w:val="28"/>
              </w:rPr>
            </w:pPr>
            <w:r>
              <w:rPr>
                <w:sz w:val="28"/>
              </w:rPr>
              <w:t>працівників протягом звітного періоду</w:t>
            </w:r>
          </w:p>
        </w:tc>
        <w:tc>
          <w:tcPr>
            <w:tcW w:w="5575" w:type="dxa"/>
          </w:tcPr>
          <w:p>
            <w:pPr>
              <w:pStyle w:val="TableParagraph"/>
              <w:spacing w:line="310" w:lineRule="exact"/>
              <w:rPr>
                <w:sz w:val="28"/>
              </w:rPr>
            </w:pPr>
            <w:r>
              <w:rPr>
                <w:w w:val="99"/>
                <w:sz w:val="28"/>
              </w:rPr>
              <w:t>5</w:t>
            </w:r>
          </w:p>
        </w:tc>
      </w:tr>
      <w:tr>
        <w:trPr>
          <w:trHeight w:val="647" w:hRule="atLeast"/>
        </w:trPr>
        <w:tc>
          <w:tcPr>
            <w:tcW w:w="3774" w:type="dxa"/>
          </w:tcPr>
          <w:p>
            <w:pPr>
              <w:pStyle w:val="TableParagraph"/>
              <w:spacing w:line="310" w:lineRule="exact"/>
              <w:rPr>
                <w:sz w:val="28"/>
              </w:rPr>
            </w:pPr>
            <w:r>
              <w:rPr>
                <w:sz w:val="28"/>
              </w:rPr>
              <w:t>Директор</w:t>
            </w:r>
          </w:p>
        </w:tc>
        <w:tc>
          <w:tcPr>
            <w:tcW w:w="5575" w:type="dxa"/>
          </w:tcPr>
          <w:p>
            <w:pPr>
              <w:pStyle w:val="TableParagraph"/>
              <w:spacing w:line="310" w:lineRule="exact"/>
              <w:rPr>
                <w:sz w:val="28"/>
              </w:rPr>
            </w:pPr>
            <w:r>
              <w:rPr>
                <w:sz w:val="28"/>
              </w:rPr>
              <w:t>Роднєва Надія Федорівна</w:t>
            </w:r>
          </w:p>
        </w:tc>
      </w:tr>
      <w:tr>
        <w:trPr>
          <w:trHeight w:val="321" w:hRule="atLeast"/>
        </w:trPr>
        <w:tc>
          <w:tcPr>
            <w:tcW w:w="3774" w:type="dxa"/>
          </w:tcPr>
          <w:p>
            <w:pPr>
              <w:pStyle w:val="TableParagraph"/>
              <w:spacing w:line="301" w:lineRule="exact"/>
              <w:rPr>
                <w:sz w:val="28"/>
              </w:rPr>
            </w:pPr>
            <w:r>
              <w:rPr>
                <w:sz w:val="28"/>
              </w:rPr>
              <w:t>Головний бухгалтер</w:t>
            </w:r>
          </w:p>
        </w:tc>
        <w:tc>
          <w:tcPr>
            <w:tcW w:w="5575" w:type="dxa"/>
          </w:tcPr>
          <w:p>
            <w:pPr>
              <w:pStyle w:val="TableParagraph"/>
              <w:spacing w:line="301" w:lineRule="exact"/>
              <w:rPr>
                <w:sz w:val="28"/>
              </w:rPr>
            </w:pPr>
            <w:r>
              <w:rPr>
                <w:sz w:val="28"/>
              </w:rPr>
              <w:t>Якуніна Ірина Олександрівна</w:t>
            </w:r>
          </w:p>
        </w:tc>
      </w:tr>
      <w:tr>
        <w:trPr>
          <w:trHeight w:val="321" w:hRule="atLeast"/>
        </w:trPr>
        <w:tc>
          <w:tcPr>
            <w:tcW w:w="3774" w:type="dxa"/>
          </w:tcPr>
          <w:p>
            <w:pPr>
              <w:pStyle w:val="TableParagraph"/>
              <w:spacing w:line="302" w:lineRule="exact"/>
              <w:rPr>
                <w:sz w:val="28"/>
              </w:rPr>
            </w:pPr>
            <w:r>
              <w:rPr>
                <w:sz w:val="28"/>
              </w:rPr>
              <w:t>Органи управління</w:t>
            </w:r>
          </w:p>
        </w:tc>
        <w:tc>
          <w:tcPr>
            <w:tcW w:w="5575" w:type="dxa"/>
          </w:tcPr>
          <w:p>
            <w:pPr>
              <w:pStyle w:val="TableParagraph"/>
              <w:spacing w:line="302" w:lineRule="exact"/>
              <w:rPr>
                <w:sz w:val="28"/>
              </w:rPr>
            </w:pPr>
            <w:r>
              <w:rPr>
                <w:sz w:val="28"/>
              </w:rPr>
              <w:t>Загальні збори</w:t>
            </w:r>
          </w:p>
        </w:tc>
      </w:tr>
    </w:tbl>
    <w:p>
      <w:pPr>
        <w:pStyle w:val="BodyText"/>
        <w:tabs>
          <w:tab w:pos="6508" w:val="left" w:leader="none"/>
        </w:tabs>
        <w:spacing w:line="310" w:lineRule="exact"/>
        <w:ind w:left="910"/>
        <w:jc w:val="left"/>
      </w:pPr>
      <w:r>
        <w:rPr>
          <w:spacing w:val="-3"/>
        </w:rPr>
        <w:t>Ця   </w:t>
      </w:r>
      <w:r>
        <w:rPr/>
        <w:t>фінансова  звітність </w:t>
      </w:r>
      <w:r>
        <w:rPr>
          <w:spacing w:val="5"/>
        </w:rPr>
        <w:t> </w:t>
      </w:r>
      <w:r>
        <w:rPr/>
        <w:t>була </w:t>
      </w:r>
      <w:r>
        <w:rPr>
          <w:spacing w:val="22"/>
        </w:rPr>
        <w:t> </w:t>
      </w:r>
      <w:r>
        <w:rPr/>
        <w:t>затверджена</w:t>
        <w:tab/>
        <w:t>до випуску</w:t>
      </w:r>
      <w:r>
        <w:rPr>
          <w:spacing w:val="40"/>
        </w:rPr>
        <w:t> </w:t>
      </w:r>
      <w:r>
        <w:rPr/>
        <w:t>Директором</w:t>
      </w:r>
    </w:p>
    <w:p>
      <w:pPr>
        <w:pStyle w:val="Heading1"/>
        <w:spacing w:before="4"/>
        <w:ind w:left="199"/>
      </w:pPr>
      <w:r>
        <w:rPr/>
        <w:t>03</w:t>
      </w:r>
      <w:r>
        <w:rPr>
          <w:u w:val="thick"/>
        </w:rPr>
        <w:t>.02.2020р.</w:t>
      </w:r>
    </w:p>
    <w:p>
      <w:pPr>
        <w:pStyle w:val="ListParagraph"/>
        <w:numPr>
          <w:ilvl w:val="0"/>
          <w:numId w:val="1"/>
        </w:numPr>
        <w:tabs>
          <w:tab w:pos="1328" w:val="left" w:leader="none"/>
        </w:tabs>
        <w:spacing w:line="240" w:lineRule="auto" w:before="101" w:after="0"/>
        <w:ind w:left="199" w:right="118" w:firstLine="706"/>
        <w:jc w:val="both"/>
        <w:rPr>
          <w:b/>
          <w:sz w:val="28"/>
        </w:rPr>
      </w:pPr>
      <w:bookmarkStart w:name="II. Економічне середовище, у якому Товар" w:id="1"/>
      <w:bookmarkEnd w:id="1"/>
      <w:r>
        <w:rPr/>
      </w:r>
      <w:bookmarkStart w:name="II. Економічне середовище, у якому Товар" w:id="2"/>
      <w:bookmarkEnd w:id="2"/>
      <w:r>
        <w:rPr>
          <w:b/>
          <w:sz w:val="28"/>
        </w:rPr>
        <w:t>Е</w:t>
      </w:r>
      <w:r>
        <w:rPr>
          <w:b/>
          <w:sz w:val="28"/>
        </w:rPr>
        <w:t>кономічне середовище, у якому Товариство проводить свою діяльність:</w:t>
      </w:r>
    </w:p>
    <w:p>
      <w:pPr>
        <w:pStyle w:val="BodyText"/>
        <w:spacing w:before="95"/>
        <w:ind w:right="106" w:firstLine="710"/>
      </w:pPr>
      <w:r>
        <w:rPr/>
        <w:t>Незважаючи на те, що економіка України визнана ринковою, вона продовжує демонструвати особливості, характерні для перехідної економіки. Ці особливості включають, крім іншого, наявність валюти, що не є вільно конвертованою за межами України, валютні обмеження і контроль, високі процентні ставки. Стабільність української економіки буде в значній мірі залежати від політики та дій Уряду, спрямованих на реформування адміністративної та правової систем, а також економіки в цілому. Внаслідок цього</w:t>
      </w:r>
      <w:r>
        <w:rPr>
          <w:spacing w:val="-7"/>
        </w:rPr>
        <w:t> </w:t>
      </w:r>
      <w:r>
        <w:rPr/>
        <w:t>економічна</w:t>
      </w:r>
      <w:r>
        <w:rPr>
          <w:spacing w:val="-6"/>
        </w:rPr>
        <w:t> </w:t>
      </w:r>
      <w:r>
        <w:rPr/>
        <w:t>діяльність</w:t>
      </w:r>
      <w:r>
        <w:rPr>
          <w:spacing w:val="-9"/>
        </w:rPr>
        <w:t> </w:t>
      </w:r>
      <w:r>
        <w:rPr/>
        <w:t>в</w:t>
      </w:r>
      <w:r>
        <w:rPr>
          <w:spacing w:val="-9"/>
        </w:rPr>
        <w:t> </w:t>
      </w:r>
      <w:r>
        <w:rPr/>
        <w:t>Україні</w:t>
      </w:r>
      <w:r>
        <w:rPr>
          <w:spacing w:val="-12"/>
        </w:rPr>
        <w:t> </w:t>
      </w:r>
      <w:r>
        <w:rPr/>
        <w:t>пов'язана</w:t>
      </w:r>
      <w:r>
        <w:rPr>
          <w:spacing w:val="-6"/>
        </w:rPr>
        <w:t> </w:t>
      </w:r>
      <w:r>
        <w:rPr/>
        <w:t>з</w:t>
      </w:r>
      <w:r>
        <w:rPr>
          <w:spacing w:val="-7"/>
        </w:rPr>
        <w:t> </w:t>
      </w:r>
      <w:r>
        <w:rPr/>
        <w:t>ризиками,</w:t>
      </w:r>
      <w:r>
        <w:rPr>
          <w:spacing w:val="-4"/>
        </w:rPr>
        <w:t> </w:t>
      </w:r>
      <w:r>
        <w:rPr/>
        <w:t>які</w:t>
      </w:r>
      <w:r>
        <w:rPr>
          <w:spacing w:val="-12"/>
        </w:rPr>
        <w:t> </w:t>
      </w:r>
      <w:r>
        <w:rPr/>
        <w:t>не</w:t>
      </w:r>
      <w:r>
        <w:rPr>
          <w:spacing w:val="-6"/>
        </w:rPr>
        <w:t> </w:t>
      </w:r>
      <w:r>
        <w:rPr/>
        <w:t>є</w:t>
      </w:r>
      <w:r>
        <w:rPr>
          <w:spacing w:val="-2"/>
        </w:rPr>
        <w:t> </w:t>
      </w:r>
      <w:r>
        <w:rPr/>
        <w:t>типовими для розвинених</w:t>
      </w:r>
      <w:r>
        <w:rPr>
          <w:spacing w:val="-1"/>
        </w:rPr>
        <w:t> </w:t>
      </w:r>
      <w:r>
        <w:rPr/>
        <w:t>країн.</w:t>
      </w:r>
    </w:p>
    <w:p>
      <w:pPr>
        <w:pStyle w:val="BodyText"/>
        <w:spacing w:before="2"/>
        <w:ind w:right="111" w:firstLine="710"/>
      </w:pPr>
      <w:r>
        <w:rPr/>
        <w:t>Економіка України схильна до впливу ринкових коливань і зниження темпів економічного зростання у світовій економіці. Нещодавня глобальна фінансова криза відчутно вплинула на економіку України. </w:t>
      </w:r>
      <w:r>
        <w:rPr>
          <w:spacing w:val="-3"/>
        </w:rPr>
        <w:t>На </w:t>
      </w:r>
      <w:r>
        <w:rPr/>
        <w:t>цей час в українській економіці спостерігається відновлення економічного зростання, яке супроводжується поступовим зниженням ставок рефінансування, стабілізацією</w:t>
      </w:r>
      <w:r>
        <w:rPr>
          <w:spacing w:val="-11"/>
        </w:rPr>
        <w:t> </w:t>
      </w:r>
      <w:r>
        <w:rPr/>
        <w:t>обмінного</w:t>
      </w:r>
      <w:r>
        <w:rPr>
          <w:spacing w:val="-9"/>
        </w:rPr>
        <w:t> </w:t>
      </w:r>
      <w:r>
        <w:rPr/>
        <w:t>курсу</w:t>
      </w:r>
      <w:r>
        <w:rPr>
          <w:spacing w:val="-9"/>
        </w:rPr>
        <w:t> </w:t>
      </w:r>
      <w:r>
        <w:rPr/>
        <w:t>української</w:t>
      </w:r>
      <w:r>
        <w:rPr>
          <w:spacing w:val="-14"/>
        </w:rPr>
        <w:t> </w:t>
      </w:r>
      <w:r>
        <w:rPr/>
        <w:t>гривні</w:t>
      </w:r>
      <w:r>
        <w:rPr>
          <w:spacing w:val="-14"/>
        </w:rPr>
        <w:t> </w:t>
      </w:r>
      <w:r>
        <w:rPr/>
        <w:t>по</w:t>
      </w:r>
      <w:r>
        <w:rPr>
          <w:spacing w:val="-9"/>
        </w:rPr>
        <w:t> </w:t>
      </w:r>
      <w:r>
        <w:rPr/>
        <w:t>відношенню</w:t>
      </w:r>
      <w:r>
        <w:rPr>
          <w:spacing w:val="-11"/>
        </w:rPr>
        <w:t> </w:t>
      </w:r>
      <w:r>
        <w:rPr/>
        <w:t>до</w:t>
      </w:r>
      <w:r>
        <w:rPr>
          <w:spacing w:val="-9"/>
        </w:rPr>
        <w:t> </w:t>
      </w:r>
      <w:r>
        <w:rPr/>
        <w:t>основних іноземних</w:t>
      </w:r>
      <w:r>
        <w:rPr>
          <w:spacing w:val="-4"/>
        </w:rPr>
        <w:t> </w:t>
      </w:r>
      <w:r>
        <w:rPr/>
        <w:t>валют.</w:t>
      </w:r>
    </w:p>
    <w:p>
      <w:pPr>
        <w:pStyle w:val="BodyText"/>
        <w:ind w:right="118" w:firstLine="710"/>
      </w:pPr>
      <w:r>
        <w:rPr/>
        <w:t>Подальший</w:t>
      </w:r>
      <w:r>
        <w:rPr>
          <w:spacing w:val="-9"/>
        </w:rPr>
        <w:t> </w:t>
      </w:r>
      <w:r>
        <w:rPr/>
        <w:t>економічний</w:t>
      </w:r>
      <w:r>
        <w:rPr>
          <w:spacing w:val="-9"/>
        </w:rPr>
        <w:t> </w:t>
      </w:r>
      <w:r>
        <w:rPr/>
        <w:t>розвиток</w:t>
      </w:r>
      <w:r>
        <w:rPr>
          <w:spacing w:val="-9"/>
        </w:rPr>
        <w:t> </w:t>
      </w:r>
      <w:r>
        <w:rPr/>
        <w:t>України</w:t>
      </w:r>
      <w:r>
        <w:rPr>
          <w:spacing w:val="-9"/>
        </w:rPr>
        <w:t> </w:t>
      </w:r>
      <w:r>
        <w:rPr/>
        <w:t>значною</w:t>
      </w:r>
      <w:r>
        <w:rPr>
          <w:spacing w:val="-10"/>
        </w:rPr>
        <w:t> </w:t>
      </w:r>
      <w:r>
        <w:rPr/>
        <w:t>мірою</w:t>
      </w:r>
      <w:r>
        <w:rPr>
          <w:spacing w:val="-10"/>
        </w:rPr>
        <w:t> </w:t>
      </w:r>
      <w:r>
        <w:rPr/>
        <w:t>залежить</w:t>
      </w:r>
      <w:r>
        <w:rPr>
          <w:spacing w:val="-11"/>
        </w:rPr>
        <w:t> </w:t>
      </w:r>
      <w:r>
        <w:rPr/>
        <w:t>від зовнішніх факторів та мір внутрішнього характеру, що вживаються Урядом України для підтримки росту та внесення змін до податкової, юридичної та нормативної</w:t>
      </w:r>
      <w:r>
        <w:rPr>
          <w:spacing w:val="-5"/>
        </w:rPr>
        <w:t> </w:t>
      </w:r>
      <w:r>
        <w:rPr/>
        <w:t>бази.</w:t>
      </w:r>
    </w:p>
    <w:p>
      <w:pPr>
        <w:pStyle w:val="BodyText"/>
        <w:ind w:right="104" w:firstLine="710"/>
      </w:pPr>
      <w:r>
        <w:rPr/>
        <w:t>Керівництво</w:t>
      </w:r>
      <w:r>
        <w:rPr>
          <w:spacing w:val="-8"/>
        </w:rPr>
        <w:t> </w:t>
      </w:r>
      <w:r>
        <w:rPr/>
        <w:t>не</w:t>
      </w:r>
      <w:r>
        <w:rPr>
          <w:spacing w:val="-8"/>
        </w:rPr>
        <w:t> </w:t>
      </w:r>
      <w:r>
        <w:rPr/>
        <w:t>може</w:t>
      </w:r>
      <w:r>
        <w:rPr>
          <w:spacing w:val="-8"/>
        </w:rPr>
        <w:t> </w:t>
      </w:r>
      <w:r>
        <w:rPr/>
        <w:t>передбачити</w:t>
      </w:r>
      <w:r>
        <w:rPr>
          <w:spacing w:val="-8"/>
        </w:rPr>
        <w:t> </w:t>
      </w:r>
      <w:r>
        <w:rPr/>
        <w:t>всі</w:t>
      </w:r>
      <w:r>
        <w:rPr>
          <w:spacing w:val="-14"/>
        </w:rPr>
        <w:t> </w:t>
      </w:r>
      <w:r>
        <w:rPr/>
        <w:t>тенденції,</w:t>
      </w:r>
      <w:r>
        <w:rPr>
          <w:spacing w:val="-6"/>
        </w:rPr>
        <w:t> </w:t>
      </w:r>
      <w:r>
        <w:rPr/>
        <w:t>які</w:t>
      </w:r>
      <w:r>
        <w:rPr>
          <w:spacing w:val="-13"/>
        </w:rPr>
        <w:t> </w:t>
      </w:r>
      <w:r>
        <w:rPr/>
        <w:t>можуть</w:t>
      </w:r>
      <w:r>
        <w:rPr>
          <w:spacing w:val="-11"/>
        </w:rPr>
        <w:t> </w:t>
      </w:r>
      <w:r>
        <w:rPr/>
        <w:t>впливати</w:t>
      </w:r>
      <w:r>
        <w:rPr>
          <w:spacing w:val="-8"/>
        </w:rPr>
        <w:t> </w:t>
      </w:r>
      <w:r>
        <w:rPr/>
        <w:t>на фінансовий сектор та інші галузі економіки, а також те, як це може вплинути на</w:t>
      </w:r>
      <w:r>
        <w:rPr>
          <w:spacing w:val="-11"/>
        </w:rPr>
        <w:t> </w:t>
      </w:r>
      <w:r>
        <w:rPr/>
        <w:t>майбутній</w:t>
      </w:r>
      <w:r>
        <w:rPr>
          <w:spacing w:val="-10"/>
        </w:rPr>
        <w:t> </w:t>
      </w:r>
      <w:r>
        <w:rPr/>
        <w:t>фінансовий</w:t>
      </w:r>
      <w:r>
        <w:rPr>
          <w:spacing w:val="-11"/>
        </w:rPr>
        <w:t> </w:t>
      </w:r>
      <w:r>
        <w:rPr/>
        <w:t>стан</w:t>
      </w:r>
      <w:r>
        <w:rPr>
          <w:spacing w:val="-10"/>
        </w:rPr>
        <w:t> </w:t>
      </w:r>
      <w:r>
        <w:rPr/>
        <w:t>Товариства.</w:t>
      </w:r>
      <w:r>
        <w:rPr>
          <w:spacing w:val="-9"/>
        </w:rPr>
        <w:t> </w:t>
      </w:r>
      <w:r>
        <w:rPr/>
        <w:t>Керівництво</w:t>
      </w:r>
      <w:r>
        <w:rPr>
          <w:spacing w:val="-10"/>
        </w:rPr>
        <w:t> </w:t>
      </w:r>
      <w:r>
        <w:rPr/>
        <w:t>вважає,</w:t>
      </w:r>
      <w:r>
        <w:rPr>
          <w:spacing w:val="-9"/>
        </w:rPr>
        <w:t> </w:t>
      </w:r>
      <w:r>
        <w:rPr/>
        <w:t>що</w:t>
      </w:r>
      <w:r>
        <w:rPr>
          <w:spacing w:val="-10"/>
        </w:rPr>
        <w:t> </w:t>
      </w:r>
      <w:r>
        <w:rPr/>
        <w:t>вживає</w:t>
      </w:r>
      <w:r>
        <w:rPr>
          <w:spacing w:val="-10"/>
        </w:rPr>
        <w:t> </w:t>
      </w:r>
      <w:r>
        <w:rPr/>
        <w:t>всі необхідні заходи для забезпечення стабільності та розвитку бізнесу Товариства у сучасних умовах, які склалися у бізнесі та</w:t>
      </w:r>
      <w:r>
        <w:rPr>
          <w:spacing w:val="-15"/>
        </w:rPr>
        <w:t> </w:t>
      </w:r>
      <w:r>
        <w:rPr/>
        <w:t>економіці.</w:t>
      </w:r>
    </w:p>
    <w:p>
      <w:pPr>
        <w:spacing w:after="0"/>
        <w:sectPr>
          <w:pgSz w:w="11910" w:h="16840"/>
          <w:pgMar w:top="1120" w:bottom="280" w:left="1500" w:right="740"/>
        </w:sectPr>
      </w:pPr>
    </w:p>
    <w:p>
      <w:pPr>
        <w:pStyle w:val="Heading1"/>
        <w:spacing w:before="72"/>
      </w:pPr>
      <w:r>
        <w:rPr/>
        <w:t>ІІI. Основи підготовки, затвердження і подання фінансової звітності</w:t>
      </w:r>
    </w:p>
    <w:p>
      <w:pPr>
        <w:pStyle w:val="BodyText"/>
        <w:spacing w:before="58"/>
        <w:ind w:right="183" w:firstLine="566"/>
        <w:jc w:val="left"/>
      </w:pPr>
      <w:r>
        <w:rPr/>
        <w:t>При складанні фінансової звітності товариство дотримувалось принципів складання фінансової звітності, що викладені у Концептуальній основі складання фінансової звітності за МСФЗ та основних принципів, передбачених ст. 4 Закону України «Про бухгалтерській облік та фінансову звітність в Україні:</w:t>
      </w:r>
    </w:p>
    <w:p>
      <w:pPr>
        <w:pStyle w:val="ListParagraph"/>
        <w:numPr>
          <w:ilvl w:val="0"/>
          <w:numId w:val="2"/>
        </w:numPr>
        <w:tabs>
          <w:tab w:pos="906" w:val="left" w:leader="none"/>
          <w:tab w:pos="8886" w:val="left" w:leader="none"/>
        </w:tabs>
        <w:spacing w:line="240" w:lineRule="auto" w:before="60" w:after="0"/>
        <w:ind w:left="199" w:right="113" w:firstLine="566"/>
        <w:jc w:val="both"/>
        <w:rPr>
          <w:sz w:val="28"/>
        </w:rPr>
      </w:pPr>
      <w:r>
        <w:rPr>
          <w:sz w:val="28"/>
        </w:rPr>
        <w:t>Методу    нарахування    (результати    операцій </w:t>
      </w:r>
      <w:r>
        <w:rPr>
          <w:spacing w:val="66"/>
          <w:sz w:val="28"/>
        </w:rPr>
        <w:t> </w:t>
      </w:r>
      <w:r>
        <w:rPr>
          <w:sz w:val="28"/>
        </w:rPr>
        <w:t>та  </w:t>
      </w:r>
      <w:r>
        <w:rPr>
          <w:spacing w:val="53"/>
          <w:sz w:val="28"/>
        </w:rPr>
        <w:t> </w:t>
      </w:r>
      <w:r>
        <w:rPr>
          <w:sz w:val="28"/>
        </w:rPr>
        <w:t>інших</w:t>
        <w:tab/>
      </w:r>
      <w:r>
        <w:rPr>
          <w:spacing w:val="-4"/>
          <w:sz w:val="28"/>
        </w:rPr>
        <w:t>подій </w:t>
      </w:r>
      <w:r>
        <w:rPr>
          <w:sz w:val="28"/>
        </w:rPr>
        <w:t>визначаються, коли вони здійснені, а не коли отримані або сплачені грошові кошти, та відображаються у фінансовій звітності того періоду, до якого вони відносяться);</w:t>
      </w:r>
    </w:p>
    <w:p>
      <w:pPr>
        <w:pStyle w:val="ListParagraph"/>
        <w:numPr>
          <w:ilvl w:val="0"/>
          <w:numId w:val="2"/>
        </w:numPr>
        <w:tabs>
          <w:tab w:pos="906" w:val="left" w:leader="none"/>
        </w:tabs>
        <w:spacing w:line="240" w:lineRule="auto" w:before="59" w:after="0"/>
        <w:ind w:left="199" w:right="112" w:firstLine="566"/>
        <w:jc w:val="both"/>
        <w:rPr>
          <w:sz w:val="28"/>
        </w:rPr>
      </w:pPr>
      <w:r>
        <w:rPr>
          <w:sz w:val="28"/>
        </w:rPr>
        <w:t>Безперервності діяльності (фінансова звітність складається на основі припущення, що товариство є безперервно діючим та залишається діючим у досяжному</w:t>
      </w:r>
      <w:r>
        <w:rPr>
          <w:spacing w:val="-4"/>
          <w:sz w:val="28"/>
        </w:rPr>
        <w:t> </w:t>
      </w:r>
      <w:r>
        <w:rPr>
          <w:sz w:val="28"/>
        </w:rPr>
        <w:t>майбутньому);</w:t>
      </w:r>
    </w:p>
    <w:p>
      <w:pPr>
        <w:pStyle w:val="ListParagraph"/>
        <w:numPr>
          <w:ilvl w:val="0"/>
          <w:numId w:val="2"/>
        </w:numPr>
        <w:tabs>
          <w:tab w:pos="906" w:val="left" w:leader="none"/>
        </w:tabs>
        <w:spacing w:line="240" w:lineRule="auto" w:before="60" w:after="0"/>
        <w:ind w:left="199" w:right="113" w:firstLine="566"/>
        <w:jc w:val="both"/>
        <w:rPr>
          <w:sz w:val="28"/>
        </w:rPr>
      </w:pPr>
      <w:r>
        <w:rPr>
          <w:sz w:val="28"/>
        </w:rPr>
        <w:t>Зрозумілості (фінансова звітність повинна бути зрозумілою для користувачів, прийнятна інформація не повинна виключатися з фінансової звітності, через те що деяким користувачам буде її важко</w:t>
      </w:r>
      <w:r>
        <w:rPr>
          <w:spacing w:val="3"/>
          <w:sz w:val="28"/>
        </w:rPr>
        <w:t> </w:t>
      </w:r>
      <w:r>
        <w:rPr>
          <w:sz w:val="28"/>
        </w:rPr>
        <w:t>зрозуміти);</w:t>
      </w:r>
    </w:p>
    <w:p>
      <w:pPr>
        <w:pStyle w:val="ListParagraph"/>
        <w:numPr>
          <w:ilvl w:val="0"/>
          <w:numId w:val="2"/>
        </w:numPr>
        <w:tabs>
          <w:tab w:pos="906" w:val="left" w:leader="none"/>
        </w:tabs>
        <w:spacing w:line="240" w:lineRule="auto" w:before="60" w:after="0"/>
        <w:ind w:left="199" w:right="115" w:firstLine="566"/>
        <w:jc w:val="both"/>
        <w:rPr>
          <w:sz w:val="28"/>
        </w:rPr>
      </w:pPr>
      <w:r>
        <w:rPr>
          <w:sz w:val="28"/>
        </w:rPr>
        <w:t>Доречності (інформація є доречною, якщо вона впливає на економічні рішення користувачів при оцінці ними попередніх, теперішніх або майбутніх подій, або допомагає </w:t>
      </w:r>
      <w:r>
        <w:rPr>
          <w:spacing w:val="-3"/>
          <w:sz w:val="28"/>
        </w:rPr>
        <w:t>їм </w:t>
      </w:r>
      <w:r>
        <w:rPr>
          <w:sz w:val="28"/>
        </w:rPr>
        <w:t>підтвердити або виправити попередні</w:t>
      </w:r>
      <w:r>
        <w:rPr>
          <w:spacing w:val="-8"/>
          <w:sz w:val="28"/>
        </w:rPr>
        <w:t> </w:t>
      </w:r>
      <w:r>
        <w:rPr>
          <w:sz w:val="28"/>
        </w:rPr>
        <w:t>оцінки);</w:t>
      </w:r>
    </w:p>
    <w:p>
      <w:pPr>
        <w:pStyle w:val="ListParagraph"/>
        <w:numPr>
          <w:ilvl w:val="0"/>
          <w:numId w:val="2"/>
        </w:numPr>
        <w:tabs>
          <w:tab w:pos="906" w:val="left" w:leader="none"/>
        </w:tabs>
        <w:spacing w:line="242" w:lineRule="auto" w:before="55" w:after="0"/>
        <w:ind w:left="199" w:right="116" w:firstLine="566"/>
        <w:jc w:val="both"/>
        <w:rPr>
          <w:sz w:val="28"/>
        </w:rPr>
      </w:pPr>
      <w:r>
        <w:rPr>
          <w:sz w:val="28"/>
        </w:rPr>
        <w:t>Достовірності (правдивість подання, превалювання сутності над формою);</w:t>
      </w:r>
    </w:p>
    <w:p>
      <w:pPr>
        <w:pStyle w:val="ListParagraph"/>
        <w:numPr>
          <w:ilvl w:val="0"/>
          <w:numId w:val="2"/>
        </w:numPr>
        <w:tabs>
          <w:tab w:pos="906" w:val="left" w:leader="none"/>
        </w:tabs>
        <w:spacing w:line="242" w:lineRule="auto" w:before="53" w:after="0"/>
        <w:ind w:left="199" w:right="115" w:firstLine="566"/>
        <w:jc w:val="both"/>
        <w:rPr>
          <w:sz w:val="28"/>
        </w:rPr>
      </w:pPr>
      <w:r>
        <w:rPr>
          <w:sz w:val="28"/>
        </w:rPr>
        <w:t>Зіставності (надання можливості для порівняння фінансової звітності товариства, як за різні періоди часу, так і з іншими</w:t>
      </w:r>
      <w:r>
        <w:rPr>
          <w:spacing w:val="-2"/>
          <w:sz w:val="28"/>
        </w:rPr>
        <w:t> </w:t>
      </w:r>
      <w:r>
        <w:rPr>
          <w:sz w:val="28"/>
        </w:rPr>
        <w:t>товариствами);</w:t>
      </w:r>
    </w:p>
    <w:p>
      <w:pPr>
        <w:pStyle w:val="ListParagraph"/>
        <w:numPr>
          <w:ilvl w:val="0"/>
          <w:numId w:val="2"/>
        </w:numPr>
        <w:tabs>
          <w:tab w:pos="906" w:val="left" w:leader="none"/>
        </w:tabs>
        <w:spacing w:line="240" w:lineRule="auto" w:before="53" w:after="0"/>
        <w:ind w:left="905" w:right="0" w:hanging="140"/>
        <w:jc w:val="both"/>
        <w:rPr>
          <w:sz w:val="28"/>
        </w:rPr>
      </w:pPr>
      <w:r>
        <w:rPr>
          <w:sz w:val="28"/>
        </w:rPr>
        <w:t>Можливості</w:t>
      </w:r>
      <w:r>
        <w:rPr>
          <w:spacing w:val="-5"/>
          <w:sz w:val="28"/>
        </w:rPr>
        <w:t> </w:t>
      </w:r>
      <w:r>
        <w:rPr>
          <w:sz w:val="28"/>
        </w:rPr>
        <w:t>перевірки.</w:t>
      </w:r>
    </w:p>
    <w:p>
      <w:pPr>
        <w:pStyle w:val="BodyText"/>
        <w:spacing w:before="61"/>
        <w:ind w:right="109" w:firstLine="566"/>
        <w:rPr>
          <w:sz w:val="24"/>
        </w:rPr>
      </w:pPr>
      <w:r>
        <w:rPr/>
        <w:t>Фінансова звітність підготовлена на основі допущення, що товариство буде функціонувати необмежено довго в майбутньому, це допущення передбачає реалізацію активів і виконання зобов'язань у ході звичайної діяльності</w:t>
      </w:r>
      <w:r>
        <w:rPr>
          <w:sz w:val="24"/>
        </w:rPr>
        <w:t>.</w:t>
      </w:r>
    </w:p>
    <w:p>
      <w:pPr>
        <w:pStyle w:val="BodyText"/>
        <w:spacing w:before="62"/>
        <w:ind w:right="115" w:firstLine="710"/>
      </w:pPr>
      <w:r>
        <w:rPr/>
        <w:t>Відповідно до вимог МСФЗ та МСБЗ, Товариство надає у Примітках до річної фінансової звітності додаткову інформацію, яка необхідна користувачам</w:t>
      </w:r>
      <w:r>
        <w:rPr>
          <w:spacing w:val="-7"/>
        </w:rPr>
        <w:t> </w:t>
      </w:r>
      <w:r>
        <w:rPr/>
        <w:t>фінансової</w:t>
      </w:r>
      <w:r>
        <w:rPr>
          <w:spacing w:val="-13"/>
        </w:rPr>
        <w:t> </w:t>
      </w:r>
      <w:r>
        <w:rPr/>
        <w:t>звітності</w:t>
      </w:r>
      <w:r>
        <w:rPr>
          <w:spacing w:val="-13"/>
        </w:rPr>
        <w:t> </w:t>
      </w:r>
      <w:r>
        <w:rPr/>
        <w:t>для</w:t>
      </w:r>
      <w:r>
        <w:rPr>
          <w:spacing w:val="-7"/>
        </w:rPr>
        <w:t> </w:t>
      </w:r>
      <w:r>
        <w:rPr/>
        <w:t>розуміння</w:t>
      </w:r>
      <w:r>
        <w:rPr>
          <w:spacing w:val="-2"/>
        </w:rPr>
        <w:t> </w:t>
      </w:r>
      <w:r>
        <w:rPr/>
        <w:t>її</w:t>
      </w:r>
      <w:r>
        <w:rPr>
          <w:spacing w:val="-13"/>
        </w:rPr>
        <w:t> </w:t>
      </w:r>
      <w:r>
        <w:rPr/>
        <w:t>фінансового</w:t>
      </w:r>
      <w:r>
        <w:rPr>
          <w:spacing w:val="-7"/>
        </w:rPr>
        <w:t> </w:t>
      </w:r>
      <w:r>
        <w:rPr/>
        <w:t>положення</w:t>
      </w:r>
      <w:r>
        <w:rPr>
          <w:spacing w:val="-7"/>
        </w:rPr>
        <w:t> </w:t>
      </w:r>
      <w:r>
        <w:rPr/>
        <w:t>та результатів діяльності за звітний період а також основні принципи облікової політики Товариства по використанню Міжнародних стандартів фінансової звітності.</w:t>
      </w:r>
    </w:p>
    <w:p>
      <w:pPr>
        <w:pStyle w:val="BodyText"/>
        <w:ind w:right="119" w:firstLine="706"/>
      </w:pPr>
      <w:r>
        <w:rPr/>
        <w:t>Склад цієї інформації визначається професійним судженням керівництва Товариства, яке несе відповідальність за складання даної звітності. Ці відомості є невід’ємною частиною звітності і відповідають фінансовому стану та діяльності Товариства.</w:t>
      </w:r>
    </w:p>
    <w:p>
      <w:pPr>
        <w:pStyle w:val="BodyText"/>
        <w:spacing w:before="2"/>
        <w:ind w:right="122" w:firstLine="706"/>
      </w:pPr>
      <w:r>
        <w:rPr/>
        <w:t>Відповідальність за повноту та достовірність наданої за звітний період фінансової звітності та приміток до фінансової звітності, відповідно до вимог МСФЗ, несе керівництво Товариства.</w:t>
      </w:r>
    </w:p>
    <w:p>
      <w:pPr>
        <w:spacing w:after="0"/>
        <w:sectPr>
          <w:pgSz w:w="11910" w:h="16840"/>
          <w:pgMar w:top="1040" w:bottom="280" w:left="1500" w:right="740"/>
        </w:sectPr>
      </w:pPr>
    </w:p>
    <w:p>
      <w:pPr>
        <w:pStyle w:val="BodyText"/>
        <w:spacing w:before="67"/>
        <w:ind w:right="115" w:firstLine="706"/>
      </w:pPr>
      <w:r>
        <w:rPr/>
        <w:t>Основою надання фінансової звітності є чинні міжнародні стандарти фінансової звітності (МСФЗ), міжнародні стандарти бухгалтерського обліку (МСБО) та тлумачення, розроблені Комітетом з тлумачень міжнародної фінансової звітності.</w:t>
      </w:r>
    </w:p>
    <w:p>
      <w:pPr>
        <w:pStyle w:val="BodyText"/>
        <w:spacing w:before="4"/>
        <w:ind w:right="110" w:firstLine="706"/>
      </w:pPr>
      <w:r>
        <w:rPr/>
        <w:t>Фінансова звітність Товариства беззастережно відповідає всім вимогам діючих МСФЗ, що офіційно оприлюднені на веб-сайті Міністерства фінансів України.</w:t>
      </w:r>
    </w:p>
    <w:p>
      <w:pPr>
        <w:pStyle w:val="BodyText"/>
        <w:ind w:right="105" w:firstLine="706"/>
      </w:pPr>
      <w:r>
        <w:rPr/>
        <w:t>Відповідно до вимог МСФЗ та МСБО, ТОВ надає у Примітках </w:t>
      </w:r>
      <w:r>
        <w:rPr>
          <w:spacing w:val="3"/>
        </w:rPr>
        <w:t>до </w:t>
      </w:r>
      <w:r>
        <w:rPr/>
        <w:t>фінансової звітності за 2019 рік додаткову інформацію, яка необхідна користувачам</w:t>
      </w:r>
      <w:r>
        <w:rPr>
          <w:spacing w:val="-7"/>
        </w:rPr>
        <w:t> </w:t>
      </w:r>
      <w:r>
        <w:rPr/>
        <w:t>фінансової</w:t>
      </w:r>
      <w:r>
        <w:rPr>
          <w:spacing w:val="-13"/>
        </w:rPr>
        <w:t> </w:t>
      </w:r>
      <w:r>
        <w:rPr/>
        <w:t>звітності</w:t>
      </w:r>
      <w:r>
        <w:rPr>
          <w:spacing w:val="-13"/>
        </w:rPr>
        <w:t> </w:t>
      </w:r>
      <w:r>
        <w:rPr/>
        <w:t>для</w:t>
      </w:r>
      <w:r>
        <w:rPr>
          <w:spacing w:val="-7"/>
        </w:rPr>
        <w:t> </w:t>
      </w:r>
      <w:r>
        <w:rPr/>
        <w:t>розуміння</w:t>
      </w:r>
      <w:r>
        <w:rPr>
          <w:spacing w:val="-1"/>
        </w:rPr>
        <w:t> </w:t>
      </w:r>
      <w:r>
        <w:rPr/>
        <w:t>її</w:t>
      </w:r>
      <w:r>
        <w:rPr>
          <w:spacing w:val="-13"/>
        </w:rPr>
        <w:t> </w:t>
      </w:r>
      <w:r>
        <w:rPr/>
        <w:t>фінансового</w:t>
      </w:r>
      <w:r>
        <w:rPr>
          <w:spacing w:val="-8"/>
        </w:rPr>
        <w:t> </w:t>
      </w:r>
      <w:r>
        <w:rPr/>
        <w:t>положення</w:t>
      </w:r>
      <w:r>
        <w:rPr>
          <w:spacing w:val="-6"/>
        </w:rPr>
        <w:t> </w:t>
      </w:r>
      <w:r>
        <w:rPr/>
        <w:t>та результатів діяльності за звітний період. Склад цієї інформації визначається професійним судженням керівництва компанії, яке несе відповідальність за складання даної звітності. Ці відомості є невід’ємною частиною звітності і відповідають фінансовому стану та діяльності компанії. Товариство складає комплект своєї фінансової звітності за </w:t>
      </w:r>
      <w:r>
        <w:rPr>
          <w:spacing w:val="2"/>
        </w:rPr>
        <w:t>2019 </w:t>
      </w:r>
      <w:r>
        <w:rPr/>
        <w:t>рік у</w:t>
      </w:r>
      <w:r>
        <w:rPr>
          <w:spacing w:val="-11"/>
        </w:rPr>
        <w:t> </w:t>
      </w:r>
      <w:r>
        <w:rPr/>
        <w:t>складі:</w:t>
      </w:r>
    </w:p>
    <w:p>
      <w:pPr>
        <w:pStyle w:val="BodyText"/>
        <w:spacing w:line="320" w:lineRule="exact"/>
        <w:ind w:left="905"/>
      </w:pPr>
      <w:r>
        <w:rPr/>
        <w:t>Форма № 1 Баланс</w:t>
      </w:r>
    </w:p>
    <w:p>
      <w:pPr>
        <w:pStyle w:val="BodyText"/>
        <w:spacing w:line="242" w:lineRule="auto"/>
        <w:ind w:left="905" w:right="3742"/>
      </w:pPr>
      <w:r>
        <w:rPr/>
        <w:t>Форма № 2 Звіт про фінансові результати Форма № 3 Звіт про рух грошових коштів Форма № 4 Звіт про власний капітал</w:t>
      </w:r>
    </w:p>
    <w:p>
      <w:pPr>
        <w:pStyle w:val="BodyText"/>
        <w:spacing w:line="316" w:lineRule="exact"/>
        <w:ind w:left="905"/>
      </w:pPr>
      <w:r>
        <w:rPr/>
        <w:t>Примітки до фінансової звітності, відповідно до вимог МСФЗ.</w:t>
      </w:r>
    </w:p>
    <w:p>
      <w:pPr>
        <w:pStyle w:val="Heading1"/>
        <w:spacing w:before="124"/>
        <w:jc w:val="both"/>
      </w:pPr>
      <w:r>
        <w:rPr/>
        <w:t>Звітність складається станом на 31.12.2019 року.</w:t>
      </w:r>
    </w:p>
    <w:p>
      <w:pPr>
        <w:pStyle w:val="BodyText"/>
        <w:spacing w:before="96"/>
        <w:ind w:right="122" w:firstLine="706"/>
      </w:pPr>
      <w:r>
        <w:rPr/>
        <w:t>Фінансова звітність відноситься до окремого підприємства та не відноситься до групи підприємств.</w:t>
      </w:r>
    </w:p>
    <w:p>
      <w:pPr>
        <w:pStyle w:val="BodyText"/>
        <w:spacing w:before="100"/>
        <w:ind w:right="121" w:firstLine="706"/>
      </w:pPr>
      <w:r>
        <w:rPr/>
        <w:t>Фінансова</w:t>
      </w:r>
      <w:r>
        <w:rPr>
          <w:spacing w:val="-12"/>
        </w:rPr>
        <w:t> </w:t>
      </w:r>
      <w:r>
        <w:rPr/>
        <w:t>звітність</w:t>
      </w:r>
      <w:r>
        <w:rPr>
          <w:spacing w:val="-13"/>
        </w:rPr>
        <w:t> </w:t>
      </w:r>
      <w:r>
        <w:rPr/>
        <w:t>складається</w:t>
      </w:r>
      <w:r>
        <w:rPr>
          <w:spacing w:val="-11"/>
        </w:rPr>
        <w:t> </w:t>
      </w:r>
      <w:r>
        <w:rPr/>
        <w:t>у</w:t>
      </w:r>
      <w:r>
        <w:rPr>
          <w:spacing w:val="-15"/>
        </w:rPr>
        <w:t> </w:t>
      </w:r>
      <w:r>
        <w:rPr/>
        <w:t>національній</w:t>
      </w:r>
      <w:r>
        <w:rPr>
          <w:spacing w:val="-12"/>
        </w:rPr>
        <w:t> </w:t>
      </w:r>
      <w:r>
        <w:rPr/>
        <w:t>валюті</w:t>
      </w:r>
      <w:r>
        <w:rPr>
          <w:spacing w:val="-16"/>
        </w:rPr>
        <w:t> </w:t>
      </w:r>
      <w:r>
        <w:rPr/>
        <w:t>України</w:t>
      </w:r>
      <w:r>
        <w:rPr>
          <w:spacing w:val="-11"/>
        </w:rPr>
        <w:t> </w:t>
      </w:r>
      <w:r>
        <w:rPr/>
        <w:t>(гривні), яка є функціональною</w:t>
      </w:r>
      <w:r>
        <w:rPr>
          <w:spacing w:val="4"/>
        </w:rPr>
        <w:t> </w:t>
      </w:r>
      <w:r>
        <w:rPr/>
        <w:t>валютою.</w:t>
      </w:r>
    </w:p>
    <w:p>
      <w:pPr>
        <w:pStyle w:val="BodyText"/>
        <w:spacing w:before="100"/>
        <w:ind w:left="905"/>
      </w:pPr>
      <w:r>
        <w:rPr/>
        <w:t>Ступінь округлення – в тисячах гривень без десяткового знака.</w:t>
      </w:r>
    </w:p>
    <w:p>
      <w:pPr>
        <w:pStyle w:val="BodyText"/>
        <w:spacing w:before="100"/>
        <w:ind w:right="110" w:firstLine="706"/>
      </w:pPr>
      <w:r>
        <w:rPr/>
        <w:t>Фінансова звітність Товариства достовірно представляє фінансове положення, фінансові результати та рух грошових коштів Товариства, виходячи з правдивого відображення наслідків здійснених операцій, інших подій та умов у відповідності з критеріями визнання активів, зобов’язань, доходів та витрат.</w:t>
      </w:r>
    </w:p>
    <w:p>
      <w:pPr>
        <w:pStyle w:val="BodyText"/>
        <w:spacing w:before="100"/>
        <w:ind w:right="109" w:firstLine="706"/>
      </w:pPr>
      <w:r>
        <w:rPr/>
        <w:t>Товариство</w:t>
      </w:r>
      <w:r>
        <w:rPr>
          <w:spacing w:val="-18"/>
        </w:rPr>
        <w:t> </w:t>
      </w:r>
      <w:r>
        <w:rPr/>
        <w:t>встановило</w:t>
      </w:r>
      <w:r>
        <w:rPr>
          <w:spacing w:val="-17"/>
        </w:rPr>
        <w:t> </w:t>
      </w:r>
      <w:r>
        <w:rPr/>
        <w:t>критерій</w:t>
      </w:r>
      <w:r>
        <w:rPr>
          <w:spacing w:val="-18"/>
        </w:rPr>
        <w:t> </w:t>
      </w:r>
      <w:r>
        <w:rPr/>
        <w:t>суттєвості</w:t>
      </w:r>
      <w:r>
        <w:rPr>
          <w:spacing w:val="33"/>
        </w:rPr>
        <w:t> </w:t>
      </w:r>
      <w:r>
        <w:rPr/>
        <w:t>на</w:t>
      </w:r>
      <w:r>
        <w:rPr>
          <w:spacing w:val="-16"/>
        </w:rPr>
        <w:t> </w:t>
      </w:r>
      <w:r>
        <w:rPr/>
        <w:t>рівні</w:t>
      </w:r>
      <w:r>
        <w:rPr>
          <w:spacing w:val="-22"/>
        </w:rPr>
        <w:t> </w:t>
      </w:r>
      <w:r>
        <w:rPr/>
        <w:t>10</w:t>
      </w:r>
      <w:r>
        <w:rPr>
          <w:spacing w:val="3"/>
        </w:rPr>
        <w:t> </w:t>
      </w:r>
      <w:r>
        <w:rPr/>
        <w:t>000</w:t>
      </w:r>
      <w:r>
        <w:rPr>
          <w:spacing w:val="-17"/>
        </w:rPr>
        <w:t> </w:t>
      </w:r>
      <w:r>
        <w:rPr/>
        <w:t>(десять</w:t>
      </w:r>
      <w:r>
        <w:rPr>
          <w:spacing w:val="-19"/>
        </w:rPr>
        <w:t> </w:t>
      </w:r>
      <w:r>
        <w:rPr/>
        <w:t>тисяч гривень).</w:t>
      </w:r>
    </w:p>
    <w:p>
      <w:pPr>
        <w:pStyle w:val="BodyText"/>
        <w:spacing w:before="100"/>
        <w:ind w:right="108" w:firstLine="706"/>
      </w:pPr>
      <w:r>
        <w:rPr/>
        <w:t>Товариство складає свою фінансову звітність на підставі принципу нарахування,</w:t>
      </w:r>
      <w:r>
        <w:rPr>
          <w:spacing w:val="-11"/>
        </w:rPr>
        <w:t> </w:t>
      </w:r>
      <w:r>
        <w:rPr/>
        <w:t>за</w:t>
      </w:r>
      <w:r>
        <w:rPr>
          <w:spacing w:val="-12"/>
        </w:rPr>
        <w:t> </w:t>
      </w:r>
      <w:r>
        <w:rPr/>
        <w:t>виключенням</w:t>
      </w:r>
      <w:r>
        <w:rPr>
          <w:spacing w:val="-12"/>
        </w:rPr>
        <w:t> </w:t>
      </w:r>
      <w:r>
        <w:rPr/>
        <w:t>Форми</w:t>
      </w:r>
      <w:r>
        <w:rPr>
          <w:spacing w:val="-13"/>
        </w:rPr>
        <w:t> </w:t>
      </w:r>
      <w:r>
        <w:rPr/>
        <w:t>№</w:t>
      </w:r>
      <w:r>
        <w:rPr>
          <w:spacing w:val="-19"/>
        </w:rPr>
        <w:t> </w:t>
      </w:r>
      <w:r>
        <w:rPr/>
        <w:t>3</w:t>
      </w:r>
      <w:r>
        <w:rPr>
          <w:spacing w:val="-13"/>
        </w:rPr>
        <w:t> </w:t>
      </w:r>
      <w:r>
        <w:rPr/>
        <w:t>«Звіт</w:t>
      </w:r>
      <w:r>
        <w:rPr>
          <w:spacing w:val="-15"/>
        </w:rPr>
        <w:t> </w:t>
      </w:r>
      <w:r>
        <w:rPr/>
        <w:t>про</w:t>
      </w:r>
      <w:r>
        <w:rPr>
          <w:spacing w:val="-13"/>
        </w:rPr>
        <w:t> </w:t>
      </w:r>
      <w:r>
        <w:rPr/>
        <w:t>рух</w:t>
      </w:r>
      <w:r>
        <w:rPr>
          <w:spacing w:val="-17"/>
        </w:rPr>
        <w:t> </w:t>
      </w:r>
      <w:r>
        <w:rPr/>
        <w:t>грошових</w:t>
      </w:r>
      <w:r>
        <w:rPr>
          <w:spacing w:val="-18"/>
        </w:rPr>
        <w:t> </w:t>
      </w:r>
      <w:r>
        <w:rPr/>
        <w:t>коштів»,</w:t>
      </w:r>
      <w:r>
        <w:rPr>
          <w:spacing w:val="-11"/>
        </w:rPr>
        <w:t> </w:t>
      </w:r>
      <w:r>
        <w:rPr/>
        <w:t>що складається прямим методом, при якому розкривається інформація про основні види грошових надходжень та</w:t>
      </w:r>
      <w:r>
        <w:rPr>
          <w:spacing w:val="-6"/>
        </w:rPr>
        <w:t> </w:t>
      </w:r>
      <w:r>
        <w:rPr/>
        <w:t>виплат.</w:t>
      </w:r>
    </w:p>
    <w:p>
      <w:pPr>
        <w:pStyle w:val="BodyText"/>
        <w:spacing w:before="100"/>
        <w:ind w:right="114" w:firstLine="706"/>
      </w:pPr>
      <w:r>
        <w:rPr/>
        <w:t>Товариство не зараховує активи та зобов’язання, а також доходи та витрати, якщо тільки такого не вимагається відповідно до будь-якого МСФЗ.</w:t>
      </w:r>
    </w:p>
    <w:p>
      <w:pPr>
        <w:pStyle w:val="BodyText"/>
        <w:spacing w:before="100"/>
        <w:ind w:right="119" w:firstLine="706"/>
      </w:pPr>
      <w:r>
        <w:rPr/>
        <w:t>Товариство залишає незмінними представлення та класифікацію статей у фінансовій звітності від періоду до періоду. У випадку, якщо будуть відбуватися зміни у представленні або класифікації статей у фінансовій</w:t>
      </w:r>
    </w:p>
    <w:p>
      <w:pPr>
        <w:spacing w:after="0"/>
        <w:sectPr>
          <w:pgSz w:w="11910" w:h="16840"/>
          <w:pgMar w:top="1040" w:bottom="280" w:left="1500" w:right="740"/>
        </w:sectPr>
      </w:pPr>
    </w:p>
    <w:p>
      <w:pPr>
        <w:pStyle w:val="BodyText"/>
        <w:spacing w:before="67"/>
        <w:ind w:right="113"/>
      </w:pPr>
      <w:r>
        <w:rPr/>
        <w:t>звітності, Товариство здійснить рекласифікацію порівняльних сум, за виключенням випадків, коли це не можливо, розкриє інформацію по даному випадку.</w:t>
      </w:r>
    </w:p>
    <w:p>
      <w:pPr>
        <w:pStyle w:val="BodyText"/>
        <w:spacing w:before="100"/>
        <w:ind w:right="106" w:firstLine="566"/>
      </w:pPr>
      <w:r>
        <w:rPr/>
        <w:t>Починаючи з 1 січня 2001 року Україна більше не вважається країною з гіперінфляційною економікою, і з метою відповідності вимогам Міжнародного стандарту фінансової звітності МСФЗ 29 "Фінансова звітність в умовах гіперінфляції», фінансова звітність виражена в одиниці виміру, яка діяла на дату балансу. Оскільки гіперінфляційні процеси в економіці України виражені слабо та суттєво не впливають на діяльність товариства, тому коригування фінансової звітності з урахуванням відповідних вимог МСФЗ не проводилось.</w:t>
      </w:r>
    </w:p>
    <w:p>
      <w:pPr>
        <w:pStyle w:val="BodyText"/>
        <w:spacing w:before="3"/>
        <w:ind w:right="105" w:firstLine="566"/>
      </w:pPr>
      <w:r>
        <w:rPr/>
        <w:t>МСБО 29 «Фінансова звітність в умовах гіперінфляції» не встановлює абсолютного рівня, на якому вважається, що виникає гіперінфляція. Необхідність перераховувати фінансові звіти згідно з цим Стандартом є питанням судження. Одним </w:t>
      </w:r>
      <w:r>
        <w:rPr>
          <w:spacing w:val="-3"/>
        </w:rPr>
        <w:t>із </w:t>
      </w:r>
      <w:r>
        <w:rPr/>
        <w:t>показників гіперінфляції є характеристика економічного середовища в країні, яка включають зокрема таке: основна</w:t>
      </w:r>
      <w:r>
        <w:rPr>
          <w:spacing w:val="-35"/>
        </w:rPr>
        <w:t> </w:t>
      </w:r>
      <w:r>
        <w:rPr/>
        <w:t>маса населення</w:t>
      </w:r>
      <w:r>
        <w:rPr>
          <w:spacing w:val="-7"/>
        </w:rPr>
        <w:t> </w:t>
      </w:r>
      <w:r>
        <w:rPr/>
        <w:t>віддає</w:t>
      </w:r>
      <w:r>
        <w:rPr>
          <w:spacing w:val="-7"/>
        </w:rPr>
        <w:t> </w:t>
      </w:r>
      <w:r>
        <w:rPr/>
        <w:t>перевагу</w:t>
      </w:r>
      <w:r>
        <w:rPr>
          <w:spacing w:val="-12"/>
        </w:rPr>
        <w:t> </w:t>
      </w:r>
      <w:r>
        <w:rPr/>
        <w:t>збереженню</w:t>
      </w:r>
      <w:r>
        <w:rPr>
          <w:spacing w:val="-9"/>
        </w:rPr>
        <w:t> </w:t>
      </w:r>
      <w:r>
        <w:rPr/>
        <w:t>своїх</w:t>
      </w:r>
      <w:r>
        <w:rPr>
          <w:spacing w:val="-13"/>
        </w:rPr>
        <w:t> </w:t>
      </w:r>
      <w:r>
        <w:rPr/>
        <w:t>цінностей</w:t>
      </w:r>
      <w:r>
        <w:rPr>
          <w:spacing w:val="-3"/>
        </w:rPr>
        <w:t> </w:t>
      </w:r>
      <w:r>
        <w:rPr/>
        <w:t>у</w:t>
      </w:r>
      <w:r>
        <w:rPr>
          <w:spacing w:val="-12"/>
        </w:rPr>
        <w:t> </w:t>
      </w:r>
      <w:r>
        <w:rPr>
          <w:spacing w:val="3"/>
        </w:rPr>
        <w:t>формі</w:t>
      </w:r>
      <w:r>
        <w:rPr>
          <w:spacing w:val="-7"/>
        </w:rPr>
        <w:t> </w:t>
      </w:r>
      <w:r>
        <w:rPr/>
        <w:t>немонетарних активів або у відносно стабільній іноземній валюті. Суми, утримувані в національній валюті, негайно інвестуються для збереження купівельної спроможності.</w:t>
      </w:r>
    </w:p>
    <w:p>
      <w:pPr>
        <w:pStyle w:val="BodyText"/>
        <w:spacing w:before="2"/>
        <w:ind w:right="114" w:firstLine="566"/>
      </w:pPr>
      <w:r>
        <w:rPr/>
        <w:t>Споживча інфляція сповільнилася з 9,8% у 2018 роцідо 4,1% у 2019 році, за</w:t>
      </w:r>
      <w:r>
        <w:rPr>
          <w:spacing w:val="-9"/>
        </w:rPr>
        <w:t> </w:t>
      </w:r>
      <w:r>
        <w:rPr/>
        <w:t>даними</w:t>
      </w:r>
      <w:r>
        <w:rPr>
          <w:spacing w:val="-10"/>
        </w:rPr>
        <w:t> </w:t>
      </w:r>
      <w:r>
        <w:rPr/>
        <w:t>Держстату.</w:t>
      </w:r>
      <w:r>
        <w:rPr>
          <w:spacing w:val="-8"/>
        </w:rPr>
        <w:t> </w:t>
      </w:r>
      <w:r>
        <w:rPr/>
        <w:t>Отже,</w:t>
      </w:r>
      <w:r>
        <w:rPr>
          <w:spacing w:val="-2"/>
        </w:rPr>
        <w:t> </w:t>
      </w:r>
      <w:r>
        <w:rPr/>
        <w:t>за</w:t>
      </w:r>
      <w:r>
        <w:rPr>
          <w:spacing w:val="-9"/>
        </w:rPr>
        <w:t> </w:t>
      </w:r>
      <w:r>
        <w:rPr/>
        <w:t>підсумками</w:t>
      </w:r>
      <w:r>
        <w:rPr>
          <w:spacing w:val="-10"/>
        </w:rPr>
        <w:t> </w:t>
      </w:r>
      <w:r>
        <w:rPr/>
        <w:t>минулого</w:t>
      </w:r>
      <w:r>
        <w:rPr>
          <w:spacing w:val="-10"/>
        </w:rPr>
        <w:t> </w:t>
      </w:r>
      <w:r>
        <w:rPr/>
        <w:t>року</w:t>
      </w:r>
      <w:r>
        <w:rPr>
          <w:spacing w:val="-10"/>
        </w:rPr>
        <w:t> </w:t>
      </w:r>
      <w:r>
        <w:rPr/>
        <w:t>Національний</w:t>
      </w:r>
      <w:r>
        <w:rPr>
          <w:spacing w:val="-11"/>
        </w:rPr>
        <w:t> </w:t>
      </w:r>
      <w:r>
        <w:rPr/>
        <w:t>банк досягнув середньострокової інфляційної цілі 5% ± 1</w:t>
      </w:r>
      <w:r>
        <w:rPr>
          <w:spacing w:val="2"/>
        </w:rPr>
        <w:t> </w:t>
      </w:r>
      <w:r>
        <w:rPr/>
        <w:t>в.п.</w:t>
      </w:r>
    </w:p>
    <w:p>
      <w:pPr>
        <w:pStyle w:val="BodyText"/>
        <w:ind w:right="103"/>
      </w:pPr>
      <w:r>
        <w:rPr/>
        <w:t>Зниження інфляції до цілі у 2019 році - це насамперед результат послідовної монетарної</w:t>
      </w:r>
      <w:r>
        <w:rPr>
          <w:spacing w:val="-19"/>
        </w:rPr>
        <w:t> </w:t>
      </w:r>
      <w:r>
        <w:rPr/>
        <w:t>політики</w:t>
      </w:r>
      <w:r>
        <w:rPr>
          <w:spacing w:val="-14"/>
        </w:rPr>
        <w:t> </w:t>
      </w:r>
      <w:r>
        <w:rPr/>
        <w:t>Національного</w:t>
      </w:r>
      <w:r>
        <w:rPr>
          <w:spacing w:val="-14"/>
        </w:rPr>
        <w:t> </w:t>
      </w:r>
      <w:r>
        <w:rPr/>
        <w:t>банку,</w:t>
      </w:r>
      <w:r>
        <w:rPr>
          <w:spacing w:val="-12"/>
        </w:rPr>
        <w:t> </w:t>
      </w:r>
      <w:r>
        <w:rPr/>
        <w:t>спрямованої</w:t>
      </w:r>
      <w:r>
        <w:rPr>
          <w:spacing w:val="-18"/>
        </w:rPr>
        <w:t> </w:t>
      </w:r>
      <w:r>
        <w:rPr/>
        <w:t>на</w:t>
      </w:r>
      <w:r>
        <w:rPr>
          <w:spacing w:val="-13"/>
        </w:rPr>
        <w:t> </w:t>
      </w:r>
      <w:r>
        <w:rPr/>
        <w:t>досягнення</w:t>
      </w:r>
      <w:r>
        <w:rPr>
          <w:spacing w:val="-4"/>
        </w:rPr>
        <w:t> </w:t>
      </w:r>
      <w:r>
        <w:rPr/>
        <w:t>цінової стабільності в поєднанні з виваженою фіскальною політикою</w:t>
      </w:r>
      <w:r>
        <w:rPr>
          <w:spacing w:val="-15"/>
        </w:rPr>
        <w:t> </w:t>
      </w:r>
      <w:r>
        <w:rPr/>
        <w:t>Уряду.</w:t>
      </w:r>
    </w:p>
    <w:p>
      <w:pPr>
        <w:pStyle w:val="BodyText"/>
        <w:spacing w:before="181"/>
        <w:ind w:right="110" w:firstLine="782"/>
      </w:pPr>
      <w:r>
        <w:rPr/>
        <w:t>Ключовим чинником суттєвого уповільнення зростання споживчих цін було</w:t>
      </w:r>
      <w:r>
        <w:rPr>
          <w:spacing w:val="-5"/>
        </w:rPr>
        <w:t> </w:t>
      </w:r>
      <w:r>
        <w:rPr/>
        <w:t>зміцнення</w:t>
      </w:r>
      <w:r>
        <w:rPr>
          <w:spacing w:val="-4"/>
        </w:rPr>
        <w:t> </w:t>
      </w:r>
      <w:r>
        <w:rPr/>
        <w:t>обмінного</w:t>
      </w:r>
      <w:r>
        <w:rPr>
          <w:spacing w:val="-6"/>
        </w:rPr>
        <w:t> </w:t>
      </w:r>
      <w:r>
        <w:rPr/>
        <w:t>курсі</w:t>
      </w:r>
      <w:r>
        <w:rPr>
          <w:spacing w:val="-10"/>
        </w:rPr>
        <w:t> </w:t>
      </w:r>
      <w:r>
        <w:rPr/>
        <w:t>гривні.</w:t>
      </w:r>
      <w:r>
        <w:rPr>
          <w:spacing w:val="-2"/>
        </w:rPr>
        <w:t> </w:t>
      </w:r>
      <w:r>
        <w:rPr/>
        <w:t>Воно</w:t>
      </w:r>
      <w:r>
        <w:rPr>
          <w:spacing w:val="-6"/>
        </w:rPr>
        <w:t> </w:t>
      </w:r>
      <w:r>
        <w:rPr/>
        <w:t>відбувалося</w:t>
      </w:r>
      <w:r>
        <w:rPr>
          <w:spacing w:val="-3"/>
        </w:rPr>
        <w:t> </w:t>
      </w:r>
      <w:r>
        <w:rPr/>
        <w:t>з</w:t>
      </w:r>
      <w:r>
        <w:rPr>
          <w:spacing w:val="-5"/>
        </w:rPr>
        <w:t> </w:t>
      </w:r>
      <w:r>
        <w:rPr/>
        <w:t>огляду</w:t>
      </w:r>
      <w:r>
        <w:rPr>
          <w:spacing w:val="-9"/>
        </w:rPr>
        <w:t> </w:t>
      </w:r>
      <w:r>
        <w:rPr/>
        <w:t>на</w:t>
      </w:r>
      <w:r>
        <w:rPr>
          <w:spacing w:val="-4"/>
        </w:rPr>
        <w:t> </w:t>
      </w:r>
      <w:r>
        <w:rPr/>
        <w:t>високий інтерес інвесторів до гривневих фінансових інструментів, ураховуючи їхню привабливу дохідність на тлі тривалого періоду макроекономічної стабільності, а також загальне зростання продуктивності української економіки. Зниження інфляційного тиску також підтримувалося загальним зниженням</w:t>
      </w:r>
      <w:r>
        <w:rPr>
          <w:spacing w:val="-14"/>
        </w:rPr>
        <w:t> </w:t>
      </w:r>
      <w:r>
        <w:rPr/>
        <w:t>світових</w:t>
      </w:r>
      <w:r>
        <w:rPr>
          <w:spacing w:val="-19"/>
        </w:rPr>
        <w:t> </w:t>
      </w:r>
      <w:r>
        <w:rPr/>
        <w:t>цін</w:t>
      </w:r>
      <w:r>
        <w:rPr>
          <w:spacing w:val="-14"/>
        </w:rPr>
        <w:t> </w:t>
      </w:r>
      <w:r>
        <w:rPr/>
        <w:t>на</w:t>
      </w:r>
      <w:r>
        <w:rPr>
          <w:spacing w:val="-13"/>
        </w:rPr>
        <w:t> </w:t>
      </w:r>
      <w:r>
        <w:rPr/>
        <w:t>енергоносії,</w:t>
      </w:r>
      <w:r>
        <w:rPr>
          <w:spacing w:val="-13"/>
        </w:rPr>
        <w:t> </w:t>
      </w:r>
      <w:r>
        <w:rPr>
          <w:spacing w:val="3"/>
        </w:rPr>
        <w:t>які</w:t>
      </w:r>
      <w:r>
        <w:rPr>
          <w:spacing w:val="-18"/>
        </w:rPr>
        <w:t> </w:t>
      </w:r>
      <w:r>
        <w:rPr/>
        <w:t>Україна</w:t>
      </w:r>
      <w:r>
        <w:rPr>
          <w:spacing w:val="-10"/>
        </w:rPr>
        <w:t> </w:t>
      </w:r>
      <w:r>
        <w:rPr/>
        <w:t>імпортує,</w:t>
      </w:r>
      <w:r>
        <w:rPr>
          <w:spacing w:val="-12"/>
        </w:rPr>
        <w:t> </w:t>
      </w:r>
      <w:r>
        <w:rPr/>
        <w:t>та</w:t>
      </w:r>
      <w:r>
        <w:rPr>
          <w:spacing w:val="-13"/>
        </w:rPr>
        <w:t> </w:t>
      </w:r>
      <w:r>
        <w:rPr/>
        <w:t>послабленням тиску з боку пропозиції продуктів харчування. Водночас поступово покращувалися інфляційні очікування населення, фінансових аналітиків, бізнесу та</w:t>
      </w:r>
      <w:r>
        <w:rPr>
          <w:spacing w:val="-2"/>
        </w:rPr>
        <w:t> </w:t>
      </w:r>
      <w:r>
        <w:rPr/>
        <w:t>банків.</w:t>
      </w:r>
    </w:p>
    <w:p>
      <w:pPr>
        <w:pStyle w:val="BodyText"/>
        <w:spacing w:before="180"/>
        <w:ind w:right="112" w:firstLine="566"/>
      </w:pPr>
      <w:r>
        <w:rPr/>
        <w:t>Разом ці фактори переважили вплив швидшого, ніж очікувалося, зростання споживчого попиту та заробітних плат.</w:t>
      </w:r>
    </w:p>
    <w:p>
      <w:pPr>
        <w:pStyle w:val="BodyText"/>
        <w:spacing w:before="182"/>
        <w:ind w:right="114" w:firstLine="710"/>
      </w:pPr>
      <w:r>
        <w:rPr/>
        <w:t>Сповільнення інфляції виявилося суттєвішим, ніж передбачалося в прогнозах НБУ, опублікованих в Інфляційних звітах упродовж 2019 року (6,3% на кінець року), а також у оцінках інших експертних організацій.</w:t>
      </w:r>
    </w:p>
    <w:p>
      <w:pPr>
        <w:spacing w:after="0"/>
        <w:sectPr>
          <w:pgSz w:w="11910" w:h="16840"/>
          <w:pgMar w:top="1040" w:bottom="280" w:left="1500" w:right="740"/>
        </w:sectPr>
      </w:pPr>
    </w:p>
    <w:p>
      <w:pPr>
        <w:pStyle w:val="BodyText"/>
        <w:spacing w:before="67"/>
        <w:ind w:right="110" w:firstLine="566"/>
      </w:pPr>
      <w:r>
        <w:rPr/>
        <w:t>Базова інфляція за підсумками 2019 року уповільнилася до 3,9% порівняно з 8,7% у 2018 році.</w:t>
      </w:r>
    </w:p>
    <w:p>
      <w:pPr>
        <w:pStyle w:val="BodyText"/>
        <w:spacing w:before="182"/>
        <w:ind w:right="112" w:firstLine="566"/>
      </w:pPr>
      <w:r>
        <w:rPr/>
        <w:t>Знизилися ціни на непродовольчі товари, які переважно представлені імпортованою продукцією або мають високу частку імпорту в собівартості. Зокрема, за рік подешевшали автомобілі, одяг та взуття, побутова техніка та електроніка. Також завдяки курсовому чиннику несуттєвим було підвищення цін на меблі, товари особистого догляду, побутову хімію та фармацевтичну продукцію.</w:t>
      </w:r>
    </w:p>
    <w:p>
      <w:pPr>
        <w:pStyle w:val="BodyText"/>
        <w:spacing w:before="181"/>
        <w:ind w:right="112" w:firstLine="566"/>
      </w:pPr>
      <w:r>
        <w:rPr/>
        <w:t>Помірно подорожчала більшість продуктів харчування з високим ступенем обробки: макаронні і кондитерські вироби, м’ясні та молочні продукти, риба та морепродукти, чай, соки. Крім того, ціни на рис, оливкову та соняшникову олію були навіть нижчими, ніж у 2018 році, адже значна частина цих товарів є суттєво залежною від імпорту та цін на зовнішніх ринках.</w:t>
      </w:r>
    </w:p>
    <w:p>
      <w:pPr>
        <w:pStyle w:val="BodyText"/>
        <w:spacing w:before="181"/>
        <w:ind w:right="105" w:firstLine="566"/>
      </w:pPr>
      <w:r>
        <w:rPr/>
        <w:t>Водночас</w:t>
      </w:r>
      <w:r>
        <w:rPr>
          <w:spacing w:val="-20"/>
        </w:rPr>
        <w:t> </w:t>
      </w:r>
      <w:r>
        <w:rPr/>
        <w:t>досить</w:t>
      </w:r>
      <w:r>
        <w:rPr>
          <w:spacing w:val="-21"/>
        </w:rPr>
        <w:t> </w:t>
      </w:r>
      <w:r>
        <w:rPr/>
        <w:t>високими</w:t>
      </w:r>
      <w:r>
        <w:rPr>
          <w:spacing w:val="-20"/>
        </w:rPr>
        <w:t> </w:t>
      </w:r>
      <w:r>
        <w:rPr/>
        <w:t>темпами</w:t>
      </w:r>
      <w:r>
        <w:rPr>
          <w:spacing w:val="-20"/>
        </w:rPr>
        <w:t> </w:t>
      </w:r>
      <w:r>
        <w:rPr/>
        <w:t>зростала</w:t>
      </w:r>
      <w:r>
        <w:rPr>
          <w:spacing w:val="-20"/>
        </w:rPr>
        <w:t> </w:t>
      </w:r>
      <w:r>
        <w:rPr/>
        <w:t>вартість</w:t>
      </w:r>
      <w:r>
        <w:rPr>
          <w:spacing w:val="-21"/>
        </w:rPr>
        <w:t> </w:t>
      </w:r>
      <w:r>
        <w:rPr/>
        <w:t>послуг,</w:t>
      </w:r>
      <w:r>
        <w:rPr>
          <w:spacing w:val="-19"/>
        </w:rPr>
        <w:t> </w:t>
      </w:r>
      <w:r>
        <w:rPr/>
        <w:t>насамперед унаслідок збереження стійкого споживчого попиту та підвищення витрат бізнесу, зокрема на оплату праці. Найсуттєвіше подорожчали фінансові і нотаріальні</w:t>
      </w:r>
      <w:r>
        <w:rPr>
          <w:spacing w:val="-21"/>
        </w:rPr>
        <w:t> </w:t>
      </w:r>
      <w:r>
        <w:rPr/>
        <w:t>послуги,</w:t>
      </w:r>
      <w:r>
        <w:rPr>
          <w:spacing w:val="-15"/>
        </w:rPr>
        <w:t> </w:t>
      </w:r>
      <w:r>
        <w:rPr/>
        <w:t>кабельне</w:t>
      </w:r>
      <w:r>
        <w:rPr>
          <w:spacing w:val="-16"/>
        </w:rPr>
        <w:t> </w:t>
      </w:r>
      <w:r>
        <w:rPr/>
        <w:t>телебачення,</w:t>
      </w:r>
      <w:r>
        <w:rPr>
          <w:spacing w:val="-15"/>
        </w:rPr>
        <w:t> </w:t>
      </w:r>
      <w:r>
        <w:rPr/>
        <w:t>освіта,</w:t>
      </w:r>
      <w:r>
        <w:rPr>
          <w:spacing w:val="-15"/>
        </w:rPr>
        <w:t> </w:t>
      </w:r>
      <w:r>
        <w:rPr/>
        <w:t>мобільний</w:t>
      </w:r>
      <w:r>
        <w:rPr>
          <w:spacing w:val="-16"/>
        </w:rPr>
        <w:t> </w:t>
      </w:r>
      <w:r>
        <w:rPr/>
        <w:t>зв’язок,</w:t>
      </w:r>
      <w:r>
        <w:rPr>
          <w:spacing w:val="-15"/>
        </w:rPr>
        <w:t> </w:t>
      </w:r>
      <w:r>
        <w:rPr/>
        <w:t>послуги перукарень, готелів, медичних установ. Водночас зміцнення гривні сприяло меншим темпам зростання цін на послуги, які мають тіснішу прив’язку до курсу: оренду житла, кінотеатри та Інтернет, ресторани та кафе, стоматологічні і туристичні</w:t>
      </w:r>
      <w:r>
        <w:rPr>
          <w:spacing w:val="-8"/>
        </w:rPr>
        <w:t> </w:t>
      </w:r>
      <w:r>
        <w:rPr/>
        <w:t>послуги.</w:t>
      </w:r>
    </w:p>
    <w:p>
      <w:pPr>
        <w:pStyle w:val="BodyText"/>
        <w:spacing w:before="180"/>
        <w:ind w:right="107" w:firstLine="566"/>
      </w:pPr>
      <w:r>
        <w:rPr>
          <w:i/>
        </w:rPr>
        <w:t>Зростання цін на сирі продукти харчування </w:t>
      </w:r>
      <w:r>
        <w:rPr/>
        <w:t>у 2019 році було помірним і становило 3,9% порівняно з минулим роком – 3,3%. Завдяки гарним показникам урожаю знизилися ціни на більшість овочів (крім картоплі): капусту, моркву, цибулю, помідори, баклажани, перець, буряк. Несуттєво зросли ціни на яловичину та свинину, а курятина була навіть дешевшою ніж рік тому внаслідок перевищення виробництва над попитом. Високими темпами</w:t>
      </w:r>
      <w:r>
        <w:rPr>
          <w:spacing w:val="-14"/>
        </w:rPr>
        <w:t> </w:t>
      </w:r>
      <w:r>
        <w:rPr/>
        <w:t>зростали</w:t>
      </w:r>
      <w:r>
        <w:rPr>
          <w:spacing w:val="-14"/>
        </w:rPr>
        <w:t> </w:t>
      </w:r>
      <w:r>
        <w:rPr/>
        <w:t>ціни</w:t>
      </w:r>
      <w:r>
        <w:rPr>
          <w:spacing w:val="-14"/>
        </w:rPr>
        <w:t> </w:t>
      </w:r>
      <w:r>
        <w:rPr/>
        <w:t>лише</w:t>
      </w:r>
      <w:r>
        <w:rPr>
          <w:spacing w:val="-13"/>
        </w:rPr>
        <w:t> </w:t>
      </w:r>
      <w:r>
        <w:rPr/>
        <w:t>на</w:t>
      </w:r>
      <w:r>
        <w:rPr>
          <w:spacing w:val="-13"/>
        </w:rPr>
        <w:t> </w:t>
      </w:r>
      <w:r>
        <w:rPr/>
        <w:t>окремі</w:t>
      </w:r>
      <w:r>
        <w:rPr>
          <w:spacing w:val="-18"/>
        </w:rPr>
        <w:t> </w:t>
      </w:r>
      <w:r>
        <w:rPr/>
        <w:t>продукти,</w:t>
      </w:r>
      <w:r>
        <w:rPr>
          <w:spacing w:val="-13"/>
        </w:rPr>
        <w:t> </w:t>
      </w:r>
      <w:r>
        <w:rPr/>
        <w:t>зокрема</w:t>
      </w:r>
      <w:r>
        <w:rPr>
          <w:spacing w:val="-13"/>
        </w:rPr>
        <w:t> </w:t>
      </w:r>
      <w:r>
        <w:rPr/>
        <w:t>на</w:t>
      </w:r>
      <w:r>
        <w:rPr>
          <w:spacing w:val="-12"/>
        </w:rPr>
        <w:t> </w:t>
      </w:r>
      <w:r>
        <w:rPr/>
        <w:t>яблука,</w:t>
      </w:r>
      <w:r>
        <w:rPr>
          <w:spacing w:val="-13"/>
        </w:rPr>
        <w:t> </w:t>
      </w:r>
      <w:r>
        <w:rPr/>
        <w:t>картоплю і гречку, через менший урожай цього</w:t>
      </w:r>
      <w:r>
        <w:rPr>
          <w:spacing w:val="7"/>
        </w:rPr>
        <w:t> </w:t>
      </w:r>
      <w:r>
        <w:rPr/>
        <w:t>року.</w:t>
      </w:r>
    </w:p>
    <w:p>
      <w:pPr>
        <w:pStyle w:val="BodyText"/>
        <w:spacing w:before="180"/>
        <w:ind w:right="110" w:firstLine="566"/>
      </w:pPr>
      <w:r>
        <w:rPr>
          <w:i/>
        </w:rPr>
        <w:t>Зростання</w:t>
      </w:r>
      <w:r>
        <w:rPr>
          <w:i/>
          <w:spacing w:val="-8"/>
        </w:rPr>
        <w:t> </w:t>
      </w:r>
      <w:r>
        <w:rPr>
          <w:i/>
        </w:rPr>
        <w:t>цін</w:t>
      </w:r>
      <w:r>
        <w:rPr>
          <w:i/>
          <w:spacing w:val="-8"/>
        </w:rPr>
        <w:t> </w:t>
      </w:r>
      <w:r>
        <w:rPr>
          <w:i/>
        </w:rPr>
        <w:t>і</w:t>
      </w:r>
      <w:r>
        <w:rPr>
          <w:i/>
          <w:spacing w:val="-9"/>
        </w:rPr>
        <w:t> </w:t>
      </w:r>
      <w:r>
        <w:rPr>
          <w:i/>
        </w:rPr>
        <w:t>тарифів,</w:t>
      </w:r>
      <w:r>
        <w:rPr>
          <w:i/>
          <w:spacing w:val="-6"/>
        </w:rPr>
        <w:t> </w:t>
      </w:r>
      <w:r>
        <w:rPr>
          <w:i/>
        </w:rPr>
        <w:t>що</w:t>
      </w:r>
      <w:r>
        <w:rPr>
          <w:i/>
          <w:spacing w:val="-8"/>
        </w:rPr>
        <w:t> </w:t>
      </w:r>
      <w:r>
        <w:rPr>
          <w:i/>
        </w:rPr>
        <w:t>регулюються</w:t>
      </w:r>
      <w:r>
        <w:rPr>
          <w:i/>
          <w:spacing w:val="-8"/>
        </w:rPr>
        <w:t> </w:t>
      </w:r>
      <w:r>
        <w:rPr>
          <w:i/>
        </w:rPr>
        <w:t>адміністративно</w:t>
      </w:r>
      <w:r>
        <w:rPr/>
        <w:t>,</w:t>
      </w:r>
      <w:r>
        <w:rPr>
          <w:spacing w:val="-6"/>
        </w:rPr>
        <w:t> </w:t>
      </w:r>
      <w:r>
        <w:rPr/>
        <w:t>знизилося</w:t>
      </w:r>
      <w:r>
        <w:rPr>
          <w:spacing w:val="-8"/>
        </w:rPr>
        <w:t> </w:t>
      </w:r>
      <w:r>
        <w:rPr/>
        <w:t>з 18,0% у 2018 році до 8,6%. Завдяки зниженню цін на європейських ринках істотно знизилися ціни на природний газ для населення. Помірними темпами зростали ціни на алкогольні напої, холодну воду та каналізацію, а вартість електроенергії за рік не змінилася. Водночас досить високими темпами зростали ціни на тютюнові вироби внаслідок подальшого приведення акцизів на ці товари до європейських</w:t>
      </w:r>
      <w:r>
        <w:rPr>
          <w:spacing w:val="-5"/>
        </w:rPr>
        <w:t> </w:t>
      </w:r>
      <w:r>
        <w:rPr/>
        <w:t>рівнів.</w:t>
      </w:r>
    </w:p>
    <w:p>
      <w:pPr>
        <w:pStyle w:val="BodyText"/>
        <w:spacing w:before="181"/>
        <w:ind w:right="115" w:firstLine="566"/>
      </w:pPr>
      <w:r>
        <w:rPr>
          <w:i/>
        </w:rPr>
        <w:t>Ціни</w:t>
      </w:r>
      <w:r>
        <w:rPr>
          <w:i/>
          <w:spacing w:val="-11"/>
        </w:rPr>
        <w:t> </w:t>
      </w:r>
      <w:r>
        <w:rPr>
          <w:i/>
        </w:rPr>
        <w:t>на</w:t>
      </w:r>
      <w:r>
        <w:rPr>
          <w:i/>
          <w:spacing w:val="-10"/>
        </w:rPr>
        <w:t> </w:t>
      </w:r>
      <w:r>
        <w:rPr>
          <w:i/>
        </w:rPr>
        <w:t>паливо </w:t>
      </w:r>
      <w:r>
        <w:rPr/>
        <w:t>знизилися</w:t>
      </w:r>
      <w:r>
        <w:rPr>
          <w:spacing w:val="-10"/>
        </w:rPr>
        <w:t> </w:t>
      </w:r>
      <w:r>
        <w:rPr/>
        <w:t>на</w:t>
      </w:r>
      <w:r>
        <w:rPr>
          <w:spacing w:val="-9"/>
        </w:rPr>
        <w:t> </w:t>
      </w:r>
      <w:r>
        <w:rPr/>
        <w:t>8,2%</w:t>
      </w:r>
      <w:r>
        <w:rPr>
          <w:spacing w:val="-12"/>
        </w:rPr>
        <w:t> </w:t>
      </w:r>
      <w:r>
        <w:rPr/>
        <w:t>порівняно</w:t>
      </w:r>
      <w:r>
        <w:rPr>
          <w:spacing w:val="-10"/>
        </w:rPr>
        <w:t> </w:t>
      </w:r>
      <w:r>
        <w:rPr/>
        <w:t>зі</w:t>
      </w:r>
      <w:r>
        <w:rPr>
          <w:spacing w:val="-15"/>
        </w:rPr>
        <w:t> </w:t>
      </w:r>
      <w:r>
        <w:rPr/>
        <w:t>зростанням</w:t>
      </w:r>
      <w:r>
        <w:rPr>
          <w:spacing w:val="-10"/>
        </w:rPr>
        <w:t> </w:t>
      </w:r>
      <w:r>
        <w:rPr/>
        <w:t>на</w:t>
      </w:r>
      <w:r>
        <w:rPr>
          <w:spacing w:val="-9"/>
        </w:rPr>
        <w:t> </w:t>
      </w:r>
      <w:r>
        <w:rPr/>
        <w:t>9,1%</w:t>
      </w:r>
      <w:r>
        <w:rPr>
          <w:spacing w:val="-7"/>
        </w:rPr>
        <w:t> </w:t>
      </w:r>
      <w:r>
        <w:rPr/>
        <w:t>у</w:t>
      </w:r>
      <w:r>
        <w:rPr>
          <w:spacing w:val="-15"/>
        </w:rPr>
        <w:t> </w:t>
      </w:r>
      <w:r>
        <w:rPr/>
        <w:t>2018 році внаслідок як міцнішого курсу гривні, так і загального зниження світових цін на</w:t>
      </w:r>
      <w:r>
        <w:rPr>
          <w:spacing w:val="1"/>
        </w:rPr>
        <w:t> </w:t>
      </w:r>
      <w:r>
        <w:rPr/>
        <w:t>енергоносії.</w:t>
      </w:r>
    </w:p>
    <w:p>
      <w:pPr>
        <w:spacing w:after="0"/>
        <w:sectPr>
          <w:pgSz w:w="11910" w:h="16840"/>
          <w:pgMar w:top="1040" w:bottom="280" w:left="1500" w:right="740"/>
        </w:sectPr>
      </w:pPr>
    </w:p>
    <w:p>
      <w:pPr>
        <w:pStyle w:val="Heading1"/>
        <w:numPr>
          <w:ilvl w:val="1"/>
          <w:numId w:val="1"/>
        </w:numPr>
        <w:tabs>
          <w:tab w:pos="2356" w:val="left" w:leader="none"/>
        </w:tabs>
        <w:spacing w:line="240" w:lineRule="auto" w:before="72" w:after="0"/>
        <w:ind w:left="2351" w:right="1320" w:hanging="380"/>
        <w:jc w:val="left"/>
      </w:pPr>
      <w:r>
        <w:rPr/>
        <w:t>Стислий виклад принципів облікової</w:t>
      </w:r>
      <w:r>
        <w:rPr>
          <w:spacing w:val="-22"/>
        </w:rPr>
        <w:t> </w:t>
      </w:r>
      <w:r>
        <w:rPr/>
        <w:t>політики Первісне визнання фінансових</w:t>
      </w:r>
      <w:r>
        <w:rPr>
          <w:spacing w:val="-5"/>
        </w:rPr>
        <w:t> </w:t>
      </w:r>
      <w:r>
        <w:rPr/>
        <w:t>активів.</w:t>
      </w:r>
    </w:p>
    <w:p>
      <w:pPr>
        <w:pStyle w:val="BodyText"/>
        <w:spacing w:before="196"/>
        <w:ind w:right="106"/>
      </w:pPr>
      <w:r>
        <w:rPr/>
        <w:t>Під час первісного визнання цього фінансового активу та за умови застосування звичайної процентної ставки, Товаристао оцінює його за справедливою вартістю мінус витрати на операцію, які прямо відносяться до видачі кредиту. Найкращим доказом справедливої вартості є ціна операції, тобто сума договору.</w:t>
      </w:r>
    </w:p>
    <w:p>
      <w:pPr>
        <w:pStyle w:val="BodyText"/>
        <w:spacing w:before="201"/>
        <w:ind w:right="123"/>
      </w:pPr>
      <w:r>
        <w:rPr/>
        <w:t>Під час складання фінансової звітності для класифікації кредитів за строками Товариство:</w:t>
      </w:r>
    </w:p>
    <w:p>
      <w:pPr>
        <w:pStyle w:val="ListParagraph"/>
        <w:numPr>
          <w:ilvl w:val="0"/>
          <w:numId w:val="3"/>
        </w:numPr>
        <w:tabs>
          <w:tab w:pos="436" w:val="left" w:leader="none"/>
        </w:tabs>
        <w:spacing w:line="240" w:lineRule="auto" w:before="201" w:after="0"/>
        <w:ind w:left="435" w:right="0" w:hanging="165"/>
        <w:jc w:val="both"/>
        <w:rPr>
          <w:sz w:val="28"/>
        </w:rPr>
      </w:pPr>
      <w:r>
        <w:rPr>
          <w:sz w:val="28"/>
        </w:rPr>
        <w:t>використовує фактичний термін погашення</w:t>
      </w:r>
      <w:r>
        <w:rPr>
          <w:spacing w:val="1"/>
          <w:sz w:val="28"/>
        </w:rPr>
        <w:t> </w:t>
      </w:r>
      <w:r>
        <w:rPr>
          <w:sz w:val="28"/>
        </w:rPr>
        <w:t>кредитів;</w:t>
      </w:r>
    </w:p>
    <w:p>
      <w:pPr>
        <w:pStyle w:val="ListParagraph"/>
        <w:numPr>
          <w:ilvl w:val="0"/>
          <w:numId w:val="3"/>
        </w:numPr>
        <w:tabs>
          <w:tab w:pos="373" w:val="left" w:leader="none"/>
        </w:tabs>
        <w:spacing w:line="240" w:lineRule="auto" w:before="201" w:after="0"/>
        <w:ind w:left="199" w:right="116" w:firstLine="0"/>
        <w:jc w:val="both"/>
        <w:rPr>
          <w:sz w:val="28"/>
        </w:rPr>
      </w:pPr>
      <w:r>
        <w:rPr>
          <w:sz w:val="28"/>
        </w:rPr>
        <w:t>обов’язково відображає довгострокові кредити по частинах у розрізі строку погашення</w:t>
      </w:r>
      <w:r>
        <w:rPr>
          <w:spacing w:val="-19"/>
          <w:sz w:val="28"/>
        </w:rPr>
        <w:t> </w:t>
      </w:r>
      <w:r>
        <w:rPr>
          <w:sz w:val="28"/>
        </w:rPr>
        <w:t>не</w:t>
      </w:r>
      <w:r>
        <w:rPr>
          <w:spacing w:val="-18"/>
          <w:sz w:val="28"/>
        </w:rPr>
        <w:t> </w:t>
      </w:r>
      <w:r>
        <w:rPr>
          <w:sz w:val="28"/>
        </w:rPr>
        <w:t>більше</w:t>
      </w:r>
      <w:r>
        <w:rPr>
          <w:spacing w:val="-18"/>
          <w:sz w:val="28"/>
        </w:rPr>
        <w:t> </w:t>
      </w:r>
      <w:r>
        <w:rPr>
          <w:sz w:val="28"/>
        </w:rPr>
        <w:t>дванадцяти</w:t>
      </w:r>
      <w:r>
        <w:rPr>
          <w:spacing w:val="-19"/>
          <w:sz w:val="28"/>
        </w:rPr>
        <w:t> </w:t>
      </w:r>
      <w:r>
        <w:rPr>
          <w:sz w:val="28"/>
        </w:rPr>
        <w:t>місяців</w:t>
      </w:r>
      <w:r>
        <w:rPr>
          <w:spacing w:val="-18"/>
          <w:sz w:val="28"/>
        </w:rPr>
        <w:t> </w:t>
      </w:r>
      <w:r>
        <w:rPr>
          <w:sz w:val="28"/>
        </w:rPr>
        <w:t>після</w:t>
      </w:r>
      <w:r>
        <w:rPr>
          <w:spacing w:val="-17"/>
          <w:sz w:val="28"/>
        </w:rPr>
        <w:t> </w:t>
      </w:r>
      <w:r>
        <w:rPr>
          <w:sz w:val="28"/>
        </w:rPr>
        <w:t>дати</w:t>
      </w:r>
      <w:r>
        <w:rPr>
          <w:spacing w:val="-19"/>
          <w:sz w:val="28"/>
        </w:rPr>
        <w:t> </w:t>
      </w:r>
      <w:r>
        <w:rPr>
          <w:sz w:val="28"/>
        </w:rPr>
        <w:t>балансу</w:t>
      </w:r>
      <w:r>
        <w:rPr>
          <w:spacing w:val="-24"/>
          <w:sz w:val="28"/>
        </w:rPr>
        <w:t> </w:t>
      </w:r>
      <w:r>
        <w:rPr>
          <w:sz w:val="28"/>
        </w:rPr>
        <w:t>та</w:t>
      </w:r>
      <w:r>
        <w:rPr>
          <w:spacing w:val="-18"/>
          <w:sz w:val="28"/>
        </w:rPr>
        <w:t> </w:t>
      </w:r>
      <w:r>
        <w:rPr>
          <w:sz w:val="28"/>
        </w:rPr>
        <w:t>через</w:t>
      </w:r>
      <w:r>
        <w:rPr>
          <w:spacing w:val="-19"/>
          <w:sz w:val="28"/>
        </w:rPr>
        <w:t> </w:t>
      </w:r>
      <w:r>
        <w:rPr>
          <w:sz w:val="28"/>
        </w:rPr>
        <w:t>більш</w:t>
      </w:r>
      <w:r>
        <w:rPr>
          <w:spacing w:val="-17"/>
          <w:sz w:val="28"/>
        </w:rPr>
        <w:t> </w:t>
      </w:r>
      <w:r>
        <w:rPr>
          <w:sz w:val="28"/>
        </w:rPr>
        <w:t>ніж дванадцять місяців після дати</w:t>
      </w:r>
      <w:r>
        <w:rPr>
          <w:spacing w:val="1"/>
          <w:sz w:val="28"/>
        </w:rPr>
        <w:t> </w:t>
      </w:r>
      <w:r>
        <w:rPr>
          <w:sz w:val="28"/>
        </w:rPr>
        <w:t>балансу.</w:t>
      </w:r>
    </w:p>
    <w:p>
      <w:pPr>
        <w:pStyle w:val="Heading1"/>
        <w:spacing w:before="206"/>
        <w:ind w:left="4046" w:hanging="3193"/>
      </w:pPr>
      <w:r>
        <w:rPr/>
        <w:t>Фінансові активи класифікуються у Товаристві за наступними категоріями:</w:t>
      </w:r>
    </w:p>
    <w:p>
      <w:pPr>
        <w:pStyle w:val="BodyText"/>
        <w:spacing w:before="5"/>
        <w:ind w:left="0"/>
        <w:jc w:val="left"/>
        <w:rPr>
          <w:b/>
          <w:sz w:val="27"/>
        </w:rPr>
      </w:pPr>
    </w:p>
    <w:p>
      <w:pPr>
        <w:pStyle w:val="ListParagraph"/>
        <w:numPr>
          <w:ilvl w:val="1"/>
          <w:numId w:val="3"/>
        </w:numPr>
        <w:tabs>
          <w:tab w:pos="906" w:val="left" w:leader="none"/>
        </w:tabs>
        <w:spacing w:line="240" w:lineRule="auto" w:before="0" w:after="0"/>
        <w:ind w:left="343" w:right="118" w:firstLine="139"/>
        <w:jc w:val="both"/>
        <w:rPr>
          <w:sz w:val="28"/>
        </w:rPr>
      </w:pPr>
      <w:r>
        <w:rPr>
          <w:sz w:val="28"/>
        </w:rPr>
        <w:t>Фінансові активи, оцінювані по справедливій вартості через прибуток або збиток - фінансові активи або зобов'язання, які придбані для цілей продажу або викупу найближчим часом; або які є похідними (за винятком похідних, які є ефективним інструментом</w:t>
      </w:r>
      <w:r>
        <w:rPr>
          <w:spacing w:val="6"/>
          <w:sz w:val="28"/>
        </w:rPr>
        <w:t> </w:t>
      </w:r>
      <w:r>
        <w:rPr>
          <w:sz w:val="28"/>
        </w:rPr>
        <w:t>хеджирування)</w:t>
      </w:r>
    </w:p>
    <w:p>
      <w:pPr>
        <w:pStyle w:val="ListParagraph"/>
        <w:numPr>
          <w:ilvl w:val="1"/>
          <w:numId w:val="3"/>
        </w:numPr>
        <w:tabs>
          <w:tab w:pos="906" w:val="left" w:leader="none"/>
        </w:tabs>
        <w:spacing w:line="240" w:lineRule="auto" w:before="198" w:after="0"/>
        <w:ind w:left="343" w:right="109" w:firstLine="139"/>
        <w:jc w:val="both"/>
        <w:rPr>
          <w:sz w:val="28"/>
        </w:rPr>
      </w:pPr>
      <w:r>
        <w:rPr>
          <w:sz w:val="28"/>
        </w:rPr>
        <w:t>Фінансові активи, доступні для продажу є фінансовими активами, спочатку класифікованими як наявні для продажу, або активами, не класифікованими як утримувані для продажу, утримувані до закінчення строку, а також позики й дебіторська заборгованість. Наявні для продажу інструменти включають короткострокові вкладення й певні боргові й капітальні цінні папери. У даній категорії, як правило, відображаються фінансові активи, утримувані протягом невизначеного строку, які можуть бути продані через зменшення ліквідності, а також у результаті коливань процентних ставок, валютних курсів і цін на цінні</w:t>
      </w:r>
      <w:r>
        <w:rPr>
          <w:spacing w:val="-10"/>
          <w:sz w:val="28"/>
        </w:rPr>
        <w:t> </w:t>
      </w:r>
      <w:r>
        <w:rPr>
          <w:sz w:val="28"/>
        </w:rPr>
        <w:t>папери.</w:t>
      </w:r>
    </w:p>
    <w:p>
      <w:pPr>
        <w:pStyle w:val="ListParagraph"/>
        <w:numPr>
          <w:ilvl w:val="1"/>
          <w:numId w:val="3"/>
        </w:numPr>
        <w:tabs>
          <w:tab w:pos="906" w:val="left" w:leader="none"/>
        </w:tabs>
        <w:spacing w:line="240" w:lineRule="auto" w:before="203" w:after="0"/>
        <w:ind w:left="343" w:right="107" w:firstLine="139"/>
        <w:jc w:val="both"/>
        <w:rPr>
          <w:sz w:val="28"/>
        </w:rPr>
      </w:pPr>
      <w:r>
        <w:rPr>
          <w:sz w:val="28"/>
        </w:rPr>
        <w:t>Інвестиції, утримувані до строку погашення, є непохідними фінансовими активами з фіксованими або обумовленими платежами й фіксованим строком, які товариство вирішило утримувати до строку погашення.</w:t>
      </w:r>
    </w:p>
    <w:p>
      <w:pPr>
        <w:pStyle w:val="ListParagraph"/>
        <w:numPr>
          <w:ilvl w:val="1"/>
          <w:numId w:val="3"/>
        </w:numPr>
        <w:tabs>
          <w:tab w:pos="906" w:val="left" w:leader="none"/>
        </w:tabs>
        <w:spacing w:line="240" w:lineRule="auto" w:before="198" w:after="0"/>
        <w:ind w:left="343" w:right="107" w:firstLine="139"/>
        <w:jc w:val="both"/>
        <w:rPr>
          <w:sz w:val="28"/>
        </w:rPr>
      </w:pPr>
      <w:r>
        <w:rPr>
          <w:sz w:val="28"/>
        </w:rPr>
        <w:t>Кредити, дебіторська заборгованість і грошові кошти. Кредити та дебіторська заборгованість являють собою непохідні фінансові активи з фіксованими або обумовленими платежами, </w:t>
      </w:r>
      <w:r>
        <w:rPr>
          <w:spacing w:val="4"/>
          <w:sz w:val="28"/>
        </w:rPr>
        <w:t>що </w:t>
      </w:r>
      <w:r>
        <w:rPr>
          <w:sz w:val="28"/>
        </w:rPr>
        <w:t>не котируються на ринку активів. Позики й дебіторська заборгованість включають кредити, термінові депозити</w:t>
      </w:r>
      <w:r>
        <w:rPr>
          <w:spacing w:val="-8"/>
          <w:sz w:val="28"/>
        </w:rPr>
        <w:t> </w:t>
      </w:r>
      <w:r>
        <w:rPr>
          <w:sz w:val="28"/>
        </w:rPr>
        <w:t>в</w:t>
      </w:r>
      <w:r>
        <w:rPr>
          <w:spacing w:val="-9"/>
          <w:sz w:val="28"/>
        </w:rPr>
        <w:t> </w:t>
      </w:r>
      <w:r>
        <w:rPr>
          <w:sz w:val="28"/>
        </w:rPr>
        <w:t>банках</w:t>
      </w:r>
      <w:r>
        <w:rPr>
          <w:spacing w:val="-8"/>
          <w:sz w:val="28"/>
        </w:rPr>
        <w:t> </w:t>
      </w:r>
      <w:r>
        <w:rPr>
          <w:sz w:val="28"/>
        </w:rPr>
        <w:t>і</w:t>
      </w:r>
      <w:r>
        <w:rPr>
          <w:spacing w:val="-8"/>
          <w:sz w:val="28"/>
        </w:rPr>
        <w:t> </w:t>
      </w:r>
      <w:r>
        <w:rPr>
          <w:sz w:val="28"/>
        </w:rPr>
        <w:t>інших</w:t>
      </w:r>
      <w:r>
        <w:rPr>
          <w:spacing w:val="-12"/>
          <w:sz w:val="28"/>
        </w:rPr>
        <w:t> </w:t>
      </w:r>
      <w:r>
        <w:rPr>
          <w:sz w:val="28"/>
        </w:rPr>
        <w:t>дебіторів</w:t>
      </w:r>
      <w:r>
        <w:rPr>
          <w:spacing w:val="-10"/>
          <w:sz w:val="28"/>
        </w:rPr>
        <w:t> </w:t>
      </w:r>
      <w:r>
        <w:rPr>
          <w:sz w:val="28"/>
        </w:rPr>
        <w:t>у</w:t>
      </w:r>
      <w:r>
        <w:rPr>
          <w:spacing w:val="-12"/>
          <w:sz w:val="28"/>
        </w:rPr>
        <w:t> </w:t>
      </w:r>
      <w:r>
        <w:rPr>
          <w:sz w:val="28"/>
        </w:rPr>
        <w:t>звіті</w:t>
      </w:r>
      <w:r>
        <w:rPr>
          <w:spacing w:val="-13"/>
          <w:sz w:val="28"/>
        </w:rPr>
        <w:t> </w:t>
      </w:r>
      <w:r>
        <w:rPr>
          <w:sz w:val="28"/>
        </w:rPr>
        <w:t>про</w:t>
      </w:r>
      <w:r>
        <w:rPr>
          <w:spacing w:val="-8"/>
          <w:sz w:val="28"/>
        </w:rPr>
        <w:t> </w:t>
      </w:r>
      <w:r>
        <w:rPr>
          <w:sz w:val="28"/>
        </w:rPr>
        <w:t>фінансове</w:t>
      </w:r>
      <w:r>
        <w:rPr>
          <w:spacing w:val="-7"/>
          <w:sz w:val="28"/>
        </w:rPr>
        <w:t> </w:t>
      </w:r>
      <w:r>
        <w:rPr>
          <w:sz w:val="28"/>
        </w:rPr>
        <w:t>становище.</w:t>
      </w:r>
      <w:r>
        <w:rPr>
          <w:spacing w:val="-6"/>
          <w:sz w:val="28"/>
        </w:rPr>
        <w:t> </w:t>
      </w:r>
      <w:r>
        <w:rPr>
          <w:sz w:val="28"/>
        </w:rPr>
        <w:t>У</w:t>
      </w:r>
      <w:r>
        <w:rPr>
          <w:spacing w:val="-8"/>
          <w:sz w:val="28"/>
        </w:rPr>
        <w:t> </w:t>
      </w:r>
      <w:r>
        <w:rPr>
          <w:sz w:val="28"/>
        </w:rPr>
        <w:t>даній категорії враховуються дебітори в операціях що здійснює</w:t>
      </w:r>
      <w:r>
        <w:rPr>
          <w:spacing w:val="54"/>
          <w:sz w:val="28"/>
        </w:rPr>
        <w:t> </w:t>
      </w:r>
      <w:r>
        <w:rPr>
          <w:sz w:val="28"/>
        </w:rPr>
        <w:t>товариство.</w:t>
      </w:r>
    </w:p>
    <w:p>
      <w:pPr>
        <w:spacing w:after="0" w:line="240" w:lineRule="auto"/>
        <w:jc w:val="both"/>
        <w:rPr>
          <w:sz w:val="28"/>
        </w:rPr>
        <w:sectPr>
          <w:pgSz w:w="11910" w:h="16840"/>
          <w:pgMar w:top="1040" w:bottom="280" w:left="1500" w:right="740"/>
        </w:sectPr>
      </w:pPr>
    </w:p>
    <w:p>
      <w:pPr>
        <w:pStyle w:val="BodyText"/>
        <w:spacing w:before="67"/>
        <w:ind w:right="105"/>
      </w:pPr>
      <w:r>
        <w:rPr/>
        <w:t>Подальша оцінка цих фінансових активів здійснюється за амортизованою собівартістю, яка визначається за методом ефективної ставки відсотка відповідно до МСФЗ 9. Товариство не отримує ніяких додаткових гонорарів та додаткових комісійних зборів, які є невід'ємною частиною ефективної ставки відсотка, витрат на операції та всіх інших премій чи дисконтів, тому ефективна ставка відсотка дорівнює номінальній ставці, тобто тій, що визначена договором.</w:t>
      </w:r>
    </w:p>
    <w:p>
      <w:pPr>
        <w:pStyle w:val="BodyText"/>
        <w:spacing w:before="205"/>
        <w:ind w:right="112"/>
      </w:pPr>
      <w:r>
        <w:rPr>
          <w:b/>
        </w:rPr>
        <w:t>Амортизована собівартість фінансового активу або фінансового зобов'язання </w:t>
      </w:r>
      <w:r>
        <w:rPr/>
        <w:t>— це сума, за якою фінансовий актив чи зобов'язання оцінюється при первісному визнанні, мінус виплати основної суми, плюс</w:t>
      </w:r>
      <w:r>
        <w:rPr>
          <w:spacing w:val="-51"/>
        </w:rPr>
        <w:t> </w:t>
      </w:r>
      <w:r>
        <w:rPr/>
        <w:t>(або мінус) накопичена амортизація будь-якої різниці між цією первісною сумою та сумою погашення </w:t>
      </w:r>
      <w:r>
        <w:rPr>
          <w:spacing w:val="-3"/>
        </w:rPr>
        <w:t>із </w:t>
      </w:r>
      <w:r>
        <w:rPr/>
        <w:t>застосуванням методу ефективного відсотка та мінус будь-яке</w:t>
      </w:r>
      <w:r>
        <w:rPr>
          <w:spacing w:val="-19"/>
        </w:rPr>
        <w:t> </w:t>
      </w:r>
      <w:r>
        <w:rPr/>
        <w:t>зменшення</w:t>
      </w:r>
      <w:r>
        <w:rPr>
          <w:spacing w:val="-18"/>
        </w:rPr>
        <w:t> </w:t>
      </w:r>
      <w:r>
        <w:rPr/>
        <w:t>(прямо</w:t>
      </w:r>
      <w:r>
        <w:rPr>
          <w:spacing w:val="-20"/>
        </w:rPr>
        <w:t> </w:t>
      </w:r>
      <w:r>
        <w:rPr/>
        <w:t>чи</w:t>
      </w:r>
      <w:r>
        <w:rPr>
          <w:spacing w:val="-19"/>
        </w:rPr>
        <w:t> </w:t>
      </w:r>
      <w:r>
        <w:rPr/>
        <w:t>через</w:t>
      </w:r>
      <w:r>
        <w:rPr>
          <w:spacing w:val="-20"/>
        </w:rPr>
        <w:t> </w:t>
      </w:r>
      <w:r>
        <w:rPr/>
        <w:t>застосування</w:t>
      </w:r>
      <w:r>
        <w:rPr>
          <w:spacing w:val="-18"/>
        </w:rPr>
        <w:t> </w:t>
      </w:r>
      <w:r>
        <w:rPr/>
        <w:t>рахунку</w:t>
      </w:r>
      <w:r>
        <w:rPr>
          <w:spacing w:val="-24"/>
        </w:rPr>
        <w:t> </w:t>
      </w:r>
      <w:r>
        <w:rPr/>
        <w:t>резервів)</w:t>
      </w:r>
      <w:r>
        <w:rPr>
          <w:spacing w:val="-20"/>
        </w:rPr>
        <w:t> </w:t>
      </w:r>
      <w:r>
        <w:rPr/>
        <w:t>унаслідок зменшення корисності або неможливості</w:t>
      </w:r>
      <w:r>
        <w:rPr>
          <w:spacing w:val="-8"/>
        </w:rPr>
        <w:t> </w:t>
      </w:r>
      <w:r>
        <w:rPr/>
        <w:t>отримання.</w:t>
      </w:r>
    </w:p>
    <w:p>
      <w:pPr>
        <w:pStyle w:val="BodyText"/>
        <w:spacing w:before="200"/>
        <w:ind w:right="109"/>
      </w:pPr>
      <w:r>
        <w:rPr>
          <w:b/>
        </w:rPr>
        <w:t>Метод ефективного відсотка </w:t>
      </w:r>
      <w:r>
        <w:rPr/>
        <w:t>— це метод обчислення амортизованої собівартості фінансового активу або фінансового зобов'язання (або групи фінансових активів чи фінансових зобов'язань) та розподілу доходу чи витрат від відсотків на відповідний період.</w:t>
      </w:r>
    </w:p>
    <w:p>
      <w:pPr>
        <w:pStyle w:val="BodyText"/>
        <w:spacing w:before="200"/>
        <w:ind w:right="112"/>
      </w:pPr>
      <w:r>
        <w:rPr>
          <w:b/>
        </w:rPr>
        <w:t>Ефективна ставка відсотка </w:t>
      </w:r>
      <w:r>
        <w:rPr/>
        <w:t>— це ставка, яка точно дисконтує попередньо оцінені майбутні платежі або надходження грошових коштів протягом очікуваного строку дії фінансового інструмента та, якщо доцільно, протягом коротшого періоду до чистої балансової вартості фінансового активу чи фінансового зобов'язання. Обчислюючи ефективну ставку відсотка, Товариство попередньо оцінює грошові потоки, враховуючи всі умови контракту про фінансовий інструмент (наприклад, аванси, опціони "кол" та подібні опціони), але не має розглядати майбутні збитки від кредитів.</w:t>
      </w:r>
    </w:p>
    <w:p>
      <w:pPr>
        <w:pStyle w:val="BodyText"/>
        <w:spacing w:before="199"/>
        <w:ind w:right="120"/>
      </w:pPr>
      <w:r>
        <w:rPr/>
        <w:t>Обчислення включає всі гонорари та додаткові комісійні збори, сплачені або отримані</w:t>
      </w:r>
      <w:r>
        <w:rPr>
          <w:spacing w:val="-17"/>
        </w:rPr>
        <w:t> </w:t>
      </w:r>
      <w:r>
        <w:rPr/>
        <w:t>сторонами</w:t>
      </w:r>
      <w:r>
        <w:rPr>
          <w:spacing w:val="-8"/>
        </w:rPr>
        <w:t> </w:t>
      </w:r>
      <w:r>
        <w:rPr/>
        <w:t>контракту,</w:t>
      </w:r>
      <w:r>
        <w:rPr>
          <w:spacing w:val="-10"/>
        </w:rPr>
        <w:t> </w:t>
      </w:r>
      <w:r>
        <w:rPr/>
        <w:t>які</w:t>
      </w:r>
      <w:r>
        <w:rPr>
          <w:spacing w:val="-14"/>
        </w:rPr>
        <w:t> </w:t>
      </w:r>
      <w:r>
        <w:rPr/>
        <w:t>є</w:t>
      </w:r>
      <w:r>
        <w:rPr>
          <w:spacing w:val="-12"/>
        </w:rPr>
        <w:t> </w:t>
      </w:r>
      <w:r>
        <w:rPr/>
        <w:t>невід'ємною</w:t>
      </w:r>
      <w:r>
        <w:rPr>
          <w:spacing w:val="-14"/>
        </w:rPr>
        <w:t> </w:t>
      </w:r>
      <w:r>
        <w:rPr/>
        <w:t>частиною</w:t>
      </w:r>
      <w:r>
        <w:rPr>
          <w:spacing w:val="-14"/>
        </w:rPr>
        <w:t> </w:t>
      </w:r>
      <w:r>
        <w:rPr/>
        <w:t>ефективної</w:t>
      </w:r>
      <w:r>
        <w:rPr>
          <w:spacing w:val="-13"/>
        </w:rPr>
        <w:t> </w:t>
      </w:r>
      <w:r>
        <w:rPr/>
        <w:t>ставки відсотка за МСБО 18, витрати на операції та всі інші премії чи</w:t>
      </w:r>
      <w:r>
        <w:rPr>
          <w:spacing w:val="-22"/>
        </w:rPr>
        <w:t> </w:t>
      </w:r>
      <w:r>
        <w:rPr/>
        <w:t>дисконти.</w:t>
      </w:r>
    </w:p>
    <w:p>
      <w:pPr>
        <w:pStyle w:val="BodyText"/>
        <w:spacing w:before="201"/>
        <w:ind w:right="105"/>
      </w:pPr>
      <w:r>
        <w:rPr/>
        <w:t>Всі фінансові інструменти, що оцінюються за справедливою вартістю через прибуток або збиток, первісно обліковуються за справедливою вартістю. Всі інші фінансові інструменти первісно визнаються за справедливою вартістю плюс витрати на проведення операції. Справедливу вартість при первісному визнанні найкраще підтверджує ціна операції.</w:t>
      </w:r>
    </w:p>
    <w:p>
      <w:pPr>
        <w:pStyle w:val="BodyText"/>
        <w:spacing w:before="201"/>
        <w:ind w:right="104"/>
      </w:pPr>
      <w:r>
        <w:rPr/>
        <w:t>Всі операції із придбання та продажу фінансових активів, що передбачають поставку протягом періоду, визначеного законодавством або традиціями ринку (договори «звичайної» купівлі-продажу), визнаються на дату здійснення</w:t>
      </w:r>
      <w:r>
        <w:rPr>
          <w:spacing w:val="-18"/>
        </w:rPr>
        <w:t> </w:t>
      </w:r>
      <w:r>
        <w:rPr/>
        <w:t>угоди,</w:t>
      </w:r>
      <w:r>
        <w:rPr>
          <w:spacing w:val="-17"/>
        </w:rPr>
        <w:t> </w:t>
      </w:r>
      <w:r>
        <w:rPr/>
        <w:t>тобто</w:t>
      </w:r>
      <w:r>
        <w:rPr>
          <w:spacing w:val="-19"/>
        </w:rPr>
        <w:t> </w:t>
      </w:r>
      <w:r>
        <w:rPr/>
        <w:t>на</w:t>
      </w:r>
      <w:r>
        <w:rPr>
          <w:spacing w:val="-18"/>
        </w:rPr>
        <w:t> </w:t>
      </w:r>
      <w:r>
        <w:rPr/>
        <w:t>дату,</w:t>
      </w:r>
      <w:r>
        <w:rPr>
          <w:spacing w:val="-17"/>
        </w:rPr>
        <w:t> </w:t>
      </w:r>
      <w:r>
        <w:rPr/>
        <w:t>коли</w:t>
      </w:r>
      <w:r>
        <w:rPr>
          <w:spacing w:val="39"/>
        </w:rPr>
        <w:t> </w:t>
      </w:r>
      <w:r>
        <w:rPr/>
        <w:t>Товариство</w:t>
      </w:r>
      <w:r>
        <w:rPr>
          <w:spacing w:val="-17"/>
        </w:rPr>
        <w:t> </w:t>
      </w:r>
      <w:r>
        <w:rPr/>
        <w:t>зобов'язується</w:t>
      </w:r>
      <w:r>
        <w:rPr>
          <w:spacing w:val="-17"/>
        </w:rPr>
        <w:t> </w:t>
      </w:r>
      <w:r>
        <w:rPr/>
        <w:t>придбати</w:t>
      </w:r>
      <w:r>
        <w:rPr>
          <w:spacing w:val="-19"/>
        </w:rPr>
        <w:t> </w:t>
      </w:r>
      <w:r>
        <w:rPr>
          <w:spacing w:val="2"/>
        </w:rPr>
        <w:t>або </w:t>
      </w:r>
      <w:r>
        <w:rPr/>
        <w:t>продати фінансовий актив. Всі інші операції з придбання фінансових інструментів визнаються тоді, коли суб'єкт господарської діяльності стає стороною договору щодо придбання фінансового</w:t>
      </w:r>
      <w:r>
        <w:rPr>
          <w:spacing w:val="1"/>
        </w:rPr>
        <w:t> </w:t>
      </w:r>
      <w:r>
        <w:rPr/>
        <w:t>інструмента.</w:t>
      </w:r>
    </w:p>
    <w:p>
      <w:pPr>
        <w:spacing w:after="0"/>
        <w:sectPr>
          <w:pgSz w:w="11910" w:h="16840"/>
          <w:pgMar w:top="1040" w:bottom="280" w:left="1500" w:right="740"/>
        </w:sectPr>
      </w:pPr>
    </w:p>
    <w:p>
      <w:pPr>
        <w:pStyle w:val="BodyText"/>
        <w:spacing w:before="67"/>
        <w:ind w:right="110"/>
      </w:pPr>
      <w:r>
        <w:rPr>
          <w:b/>
        </w:rPr>
        <w:t>Припинення визнання фінансових активів</w:t>
      </w:r>
      <w:r>
        <w:rPr/>
        <w:t>. Товариство припиняє визнання фінансових</w:t>
      </w:r>
      <w:r>
        <w:rPr>
          <w:spacing w:val="-9"/>
        </w:rPr>
        <w:t> </w:t>
      </w:r>
      <w:r>
        <w:rPr/>
        <w:t>активів,</w:t>
      </w:r>
      <w:r>
        <w:rPr>
          <w:spacing w:val="-2"/>
        </w:rPr>
        <w:t> </w:t>
      </w:r>
      <w:r>
        <w:rPr/>
        <w:t>коли</w:t>
      </w:r>
      <w:r>
        <w:rPr>
          <w:spacing w:val="-5"/>
        </w:rPr>
        <w:t> </w:t>
      </w:r>
      <w:r>
        <w:rPr/>
        <w:t>(а)</w:t>
      </w:r>
      <w:r>
        <w:rPr>
          <w:spacing w:val="-6"/>
        </w:rPr>
        <w:t> </w:t>
      </w:r>
      <w:r>
        <w:rPr/>
        <w:t>активи</w:t>
      </w:r>
      <w:r>
        <w:rPr>
          <w:spacing w:val="-5"/>
        </w:rPr>
        <w:t> </w:t>
      </w:r>
      <w:r>
        <w:rPr/>
        <w:t>погашені</w:t>
      </w:r>
      <w:r>
        <w:rPr>
          <w:spacing w:val="-10"/>
        </w:rPr>
        <w:t> </w:t>
      </w:r>
      <w:r>
        <w:rPr/>
        <w:t>або</w:t>
      </w:r>
      <w:r>
        <w:rPr>
          <w:spacing w:val="-4"/>
        </w:rPr>
        <w:t> </w:t>
      </w:r>
      <w:r>
        <w:rPr/>
        <w:t>права</w:t>
      </w:r>
      <w:r>
        <w:rPr>
          <w:spacing w:val="-5"/>
        </w:rPr>
        <w:t> </w:t>
      </w:r>
      <w:r>
        <w:rPr/>
        <w:t>на</w:t>
      </w:r>
      <w:r>
        <w:rPr>
          <w:spacing w:val="-4"/>
        </w:rPr>
        <w:t> </w:t>
      </w:r>
      <w:r>
        <w:rPr/>
        <w:t>грошові</w:t>
      </w:r>
      <w:r>
        <w:rPr>
          <w:spacing w:val="-9"/>
        </w:rPr>
        <w:t> </w:t>
      </w:r>
      <w:r>
        <w:rPr/>
        <w:t>потоки</w:t>
      </w:r>
      <w:r>
        <w:rPr>
          <w:spacing w:val="-5"/>
        </w:rPr>
        <w:t> </w:t>
      </w:r>
      <w:r>
        <w:rPr/>
        <w:t>від них іншим чином закінчилися або (б) коли Товариство передало права на грошові потоки від фінансових активів або уклала угоду щодо передачі, і при цьому (I) також передала , в основному, всі ризики та вигоди володіння активом</w:t>
      </w:r>
      <w:r>
        <w:rPr>
          <w:spacing w:val="-17"/>
        </w:rPr>
        <w:t> </w:t>
      </w:r>
      <w:r>
        <w:rPr/>
        <w:t>або</w:t>
      </w:r>
      <w:r>
        <w:rPr>
          <w:spacing w:val="-17"/>
        </w:rPr>
        <w:t> </w:t>
      </w:r>
      <w:r>
        <w:rPr/>
        <w:t>(II)</w:t>
      </w:r>
      <w:r>
        <w:rPr>
          <w:spacing w:val="-18"/>
        </w:rPr>
        <w:t> </w:t>
      </w:r>
      <w:r>
        <w:rPr/>
        <w:t>не</w:t>
      </w:r>
      <w:r>
        <w:rPr>
          <w:spacing w:val="-16"/>
        </w:rPr>
        <w:t> </w:t>
      </w:r>
      <w:r>
        <w:rPr/>
        <w:t>передавала</w:t>
      </w:r>
      <w:r>
        <w:rPr>
          <w:spacing w:val="-11"/>
        </w:rPr>
        <w:t> </w:t>
      </w:r>
      <w:r>
        <w:rPr/>
        <w:t>і</w:t>
      </w:r>
      <w:r>
        <w:rPr>
          <w:spacing w:val="-22"/>
        </w:rPr>
        <w:t> </w:t>
      </w:r>
      <w:r>
        <w:rPr/>
        <w:t>не</w:t>
      </w:r>
      <w:r>
        <w:rPr>
          <w:spacing w:val="-16"/>
        </w:rPr>
        <w:t> </w:t>
      </w:r>
      <w:r>
        <w:rPr/>
        <w:t>зберігала,</w:t>
      </w:r>
      <w:r>
        <w:rPr>
          <w:spacing w:val="-15"/>
        </w:rPr>
        <w:t> </w:t>
      </w:r>
      <w:r>
        <w:rPr/>
        <w:t>в</w:t>
      </w:r>
      <w:r>
        <w:rPr>
          <w:spacing w:val="-19"/>
        </w:rPr>
        <w:t> </w:t>
      </w:r>
      <w:r>
        <w:rPr/>
        <w:t>основному,</w:t>
      </w:r>
      <w:r>
        <w:rPr>
          <w:spacing w:val="-15"/>
        </w:rPr>
        <w:t> </w:t>
      </w:r>
      <w:r>
        <w:rPr/>
        <w:t>всі</w:t>
      </w:r>
      <w:r>
        <w:rPr>
          <w:spacing w:val="-22"/>
        </w:rPr>
        <w:t> </w:t>
      </w:r>
      <w:r>
        <w:rPr/>
        <w:t>ризики</w:t>
      </w:r>
      <w:r>
        <w:rPr>
          <w:spacing w:val="-17"/>
        </w:rPr>
        <w:t> </w:t>
      </w:r>
      <w:r>
        <w:rPr/>
        <w:t>та</w:t>
      </w:r>
      <w:r>
        <w:rPr>
          <w:spacing w:val="-16"/>
        </w:rPr>
        <w:t> </w:t>
      </w:r>
      <w:r>
        <w:rPr/>
        <w:t>вигоди володіння, але не зберегла контроль. Контроль зберігається, коли контрагент не має практичної можливості повністю продати актив незв'язаної стороні, не накладаючи при цьому обмежень на</w:t>
      </w:r>
      <w:r>
        <w:rPr>
          <w:spacing w:val="-1"/>
        </w:rPr>
        <w:t> </w:t>
      </w:r>
      <w:r>
        <w:rPr/>
        <w:t>продаж.</w:t>
      </w:r>
    </w:p>
    <w:p>
      <w:pPr>
        <w:pStyle w:val="BodyText"/>
        <w:spacing w:before="205"/>
        <w:ind w:right="102"/>
      </w:pPr>
      <w:r>
        <w:rPr/>
        <w:t>Знецінення фінансових активів, що обліковуються за амортизованою вартістю. Збитки від знецінення визнаються у складі прибутку або збитку в міру їхнього виникнення за результатом однієї або більше подій («події збитку»), що відбулися після первісного визнання фінансового активу і впливають на величину чи строки розрахункових майбутніх грошових потоків,</w:t>
      </w:r>
      <w:r>
        <w:rPr>
          <w:spacing w:val="-14"/>
        </w:rPr>
        <w:t> </w:t>
      </w:r>
      <w:r>
        <w:rPr/>
        <w:t>що</w:t>
      </w:r>
      <w:r>
        <w:rPr>
          <w:spacing w:val="-17"/>
        </w:rPr>
        <w:t> </w:t>
      </w:r>
      <w:r>
        <w:rPr/>
        <w:t>пов'язані</w:t>
      </w:r>
      <w:r>
        <w:rPr>
          <w:spacing w:val="-21"/>
        </w:rPr>
        <w:t> </w:t>
      </w:r>
      <w:r>
        <w:rPr/>
        <w:t>з</w:t>
      </w:r>
      <w:r>
        <w:rPr>
          <w:spacing w:val="-14"/>
        </w:rPr>
        <w:t> </w:t>
      </w:r>
      <w:r>
        <w:rPr/>
        <w:t>фінансовим</w:t>
      </w:r>
      <w:r>
        <w:rPr>
          <w:spacing w:val="-16"/>
        </w:rPr>
        <w:t> </w:t>
      </w:r>
      <w:r>
        <w:rPr/>
        <w:t>активом</w:t>
      </w:r>
      <w:r>
        <w:rPr>
          <w:spacing w:val="-16"/>
        </w:rPr>
        <w:t> </w:t>
      </w:r>
      <w:r>
        <w:rPr/>
        <w:t>або</w:t>
      </w:r>
      <w:r>
        <w:rPr>
          <w:spacing w:val="-13"/>
        </w:rPr>
        <w:t> </w:t>
      </w:r>
      <w:r>
        <w:rPr>
          <w:spacing w:val="-3"/>
        </w:rPr>
        <w:t>із</w:t>
      </w:r>
      <w:r>
        <w:rPr>
          <w:spacing w:val="-15"/>
        </w:rPr>
        <w:t> </w:t>
      </w:r>
      <w:r>
        <w:rPr/>
        <w:t>групами</w:t>
      </w:r>
      <w:r>
        <w:rPr>
          <w:spacing w:val="-16"/>
        </w:rPr>
        <w:t> </w:t>
      </w:r>
      <w:r>
        <w:rPr/>
        <w:t>фінансових</w:t>
      </w:r>
      <w:r>
        <w:rPr>
          <w:spacing w:val="-20"/>
        </w:rPr>
        <w:t> </w:t>
      </w:r>
      <w:r>
        <w:rPr/>
        <w:t>активів, якщо їх можна оцінити з достатнім рівнем надійності. Якщо Товариство визначає, що не існує об'єктивних ознак знецінення для фінансового активу, оціненого на індивідуальній основі, незалежно </w:t>
      </w:r>
      <w:r>
        <w:rPr>
          <w:spacing w:val="-3"/>
        </w:rPr>
        <w:t>від </w:t>
      </w:r>
      <w:r>
        <w:rPr/>
        <w:t>того, чи є актив індивідуально суттєвим чи ні, він включається до групи фінансових активів </w:t>
      </w:r>
      <w:r>
        <w:rPr>
          <w:spacing w:val="-3"/>
        </w:rPr>
        <w:t>із </w:t>
      </w:r>
      <w:r>
        <w:rPr/>
        <w:t>подібними характеристиками кредитного ризику, і ця група оцінюється на предмет знецінення на колективній основі. Основним чинником, який враховує Товариство при оцінці фінансового активу на предмет знецінення, є його прострочений</w:t>
      </w:r>
      <w:r>
        <w:rPr>
          <w:spacing w:val="1"/>
        </w:rPr>
        <w:t> </w:t>
      </w:r>
      <w:r>
        <w:rPr/>
        <w:t>статус.</w:t>
      </w:r>
    </w:p>
    <w:p>
      <w:pPr>
        <w:pStyle w:val="BodyText"/>
        <w:spacing w:before="197"/>
        <w:jc w:val="left"/>
      </w:pPr>
      <w:r>
        <w:rPr/>
        <w:t>Нижче</w:t>
      </w:r>
      <w:r>
        <w:rPr>
          <w:spacing w:val="-17"/>
        </w:rPr>
        <w:t> </w:t>
      </w:r>
      <w:r>
        <w:rPr/>
        <w:t>наведено</w:t>
      </w:r>
      <w:r>
        <w:rPr>
          <w:spacing w:val="-12"/>
        </w:rPr>
        <w:t> </w:t>
      </w:r>
      <w:r>
        <w:rPr/>
        <w:t>інші</w:t>
      </w:r>
      <w:r>
        <w:rPr>
          <w:spacing w:val="-18"/>
        </w:rPr>
        <w:t> </w:t>
      </w:r>
      <w:r>
        <w:rPr/>
        <w:t>основні</w:t>
      </w:r>
      <w:r>
        <w:rPr>
          <w:spacing w:val="-21"/>
        </w:rPr>
        <w:t> </w:t>
      </w:r>
      <w:r>
        <w:rPr/>
        <w:t>критерії,</w:t>
      </w:r>
      <w:r>
        <w:rPr>
          <w:spacing w:val="-15"/>
        </w:rPr>
        <w:t> </w:t>
      </w:r>
      <w:r>
        <w:rPr/>
        <w:t>на</w:t>
      </w:r>
      <w:r>
        <w:rPr>
          <w:spacing w:val="-17"/>
        </w:rPr>
        <w:t> </w:t>
      </w:r>
      <w:r>
        <w:rPr/>
        <w:t>підставі</w:t>
      </w:r>
      <w:r>
        <w:rPr>
          <w:spacing w:val="-22"/>
        </w:rPr>
        <w:t> </w:t>
      </w:r>
      <w:r>
        <w:rPr/>
        <w:t>яких</w:t>
      </w:r>
      <w:r>
        <w:rPr>
          <w:spacing w:val="-17"/>
        </w:rPr>
        <w:t> </w:t>
      </w:r>
      <w:r>
        <w:rPr/>
        <w:t>визначається</w:t>
      </w:r>
      <w:r>
        <w:rPr>
          <w:spacing w:val="-15"/>
        </w:rPr>
        <w:t> </w:t>
      </w:r>
      <w:r>
        <w:rPr/>
        <w:t>наявність об'єктивних ознак збитку від</w:t>
      </w:r>
      <w:r>
        <w:rPr>
          <w:spacing w:val="-1"/>
        </w:rPr>
        <w:t> </w:t>
      </w:r>
      <w:r>
        <w:rPr/>
        <w:t>знецінення:</w:t>
      </w:r>
    </w:p>
    <w:p>
      <w:pPr>
        <w:pStyle w:val="ListParagraph"/>
        <w:numPr>
          <w:ilvl w:val="0"/>
          <w:numId w:val="4"/>
        </w:numPr>
        <w:tabs>
          <w:tab w:pos="747" w:val="left" w:leader="none"/>
          <w:tab w:pos="748" w:val="left" w:leader="none"/>
        </w:tabs>
        <w:spacing w:line="240" w:lineRule="auto" w:before="123" w:after="0"/>
        <w:ind w:left="747" w:right="110" w:hanging="548"/>
        <w:jc w:val="left"/>
        <w:rPr>
          <w:sz w:val="28"/>
        </w:rPr>
      </w:pPr>
      <w:r>
        <w:rPr>
          <w:sz w:val="28"/>
        </w:rPr>
        <w:t>прострочення будь-якого чергового платежу, при цьому несвоєчасна оплата</w:t>
      </w:r>
      <w:r>
        <w:rPr>
          <w:spacing w:val="-7"/>
          <w:sz w:val="28"/>
        </w:rPr>
        <w:t> </w:t>
      </w:r>
      <w:r>
        <w:rPr>
          <w:sz w:val="28"/>
        </w:rPr>
        <w:t>не</w:t>
      </w:r>
      <w:r>
        <w:rPr>
          <w:spacing w:val="-7"/>
          <w:sz w:val="28"/>
        </w:rPr>
        <w:t> </w:t>
      </w:r>
      <w:r>
        <w:rPr>
          <w:sz w:val="28"/>
        </w:rPr>
        <w:t>може</w:t>
      </w:r>
      <w:r>
        <w:rPr>
          <w:spacing w:val="-7"/>
          <w:sz w:val="28"/>
        </w:rPr>
        <w:t> </w:t>
      </w:r>
      <w:r>
        <w:rPr>
          <w:sz w:val="28"/>
        </w:rPr>
        <w:t>пояснюватись</w:t>
      </w:r>
      <w:r>
        <w:rPr>
          <w:spacing w:val="-9"/>
          <w:sz w:val="28"/>
        </w:rPr>
        <w:t> </w:t>
      </w:r>
      <w:r>
        <w:rPr>
          <w:sz w:val="28"/>
        </w:rPr>
        <w:t>затримкою</w:t>
      </w:r>
      <w:r>
        <w:rPr>
          <w:spacing w:val="-9"/>
          <w:sz w:val="28"/>
        </w:rPr>
        <w:t> </w:t>
      </w:r>
      <w:r>
        <w:rPr>
          <w:sz w:val="28"/>
        </w:rPr>
        <w:t>у</w:t>
      </w:r>
      <w:r>
        <w:rPr>
          <w:spacing w:val="-12"/>
          <w:sz w:val="28"/>
        </w:rPr>
        <w:t> </w:t>
      </w:r>
      <w:r>
        <w:rPr>
          <w:sz w:val="28"/>
        </w:rPr>
        <w:t>роботі</w:t>
      </w:r>
      <w:r>
        <w:rPr>
          <w:spacing w:val="-4"/>
          <w:sz w:val="28"/>
        </w:rPr>
        <w:t> </w:t>
      </w:r>
      <w:r>
        <w:rPr>
          <w:sz w:val="28"/>
        </w:rPr>
        <w:t>розрахункових</w:t>
      </w:r>
      <w:r>
        <w:rPr>
          <w:spacing w:val="-12"/>
          <w:sz w:val="28"/>
        </w:rPr>
        <w:t> </w:t>
      </w:r>
      <w:r>
        <w:rPr>
          <w:sz w:val="28"/>
        </w:rPr>
        <w:t>систем;</w:t>
      </w:r>
    </w:p>
    <w:p>
      <w:pPr>
        <w:pStyle w:val="ListParagraph"/>
        <w:numPr>
          <w:ilvl w:val="0"/>
          <w:numId w:val="4"/>
        </w:numPr>
        <w:tabs>
          <w:tab w:pos="747" w:val="left" w:leader="none"/>
          <w:tab w:pos="748" w:val="left" w:leader="none"/>
        </w:tabs>
        <w:spacing w:line="240" w:lineRule="auto" w:before="118" w:after="0"/>
        <w:ind w:left="747" w:right="120" w:hanging="548"/>
        <w:jc w:val="left"/>
        <w:rPr>
          <w:sz w:val="28"/>
        </w:rPr>
      </w:pPr>
      <w:r>
        <w:rPr>
          <w:sz w:val="28"/>
        </w:rPr>
        <w:t>позичальник зазнає суттєвих фінансових труднощів, що підтверджує отримана Товариством фінансова інформація</w:t>
      </w:r>
      <w:r>
        <w:rPr>
          <w:spacing w:val="1"/>
          <w:sz w:val="28"/>
        </w:rPr>
        <w:t> </w:t>
      </w:r>
      <w:r>
        <w:rPr>
          <w:sz w:val="28"/>
        </w:rPr>
        <w:t>позичальника;</w:t>
      </w:r>
    </w:p>
    <w:p>
      <w:pPr>
        <w:pStyle w:val="ListParagraph"/>
        <w:numPr>
          <w:ilvl w:val="0"/>
          <w:numId w:val="4"/>
        </w:numPr>
        <w:tabs>
          <w:tab w:pos="747" w:val="left" w:leader="none"/>
          <w:tab w:pos="748" w:val="left" w:leader="none"/>
        </w:tabs>
        <w:spacing w:line="240" w:lineRule="auto" w:before="118" w:after="0"/>
        <w:ind w:left="747" w:right="0" w:hanging="549"/>
        <w:jc w:val="left"/>
        <w:rPr>
          <w:sz w:val="28"/>
        </w:rPr>
      </w:pPr>
      <w:r>
        <w:rPr>
          <w:sz w:val="28"/>
        </w:rPr>
        <w:t>ймовірність банкрутства чи фінансової реорганізації</w:t>
      </w:r>
      <w:r>
        <w:rPr>
          <w:spacing w:val="-18"/>
          <w:sz w:val="28"/>
        </w:rPr>
        <w:t> </w:t>
      </w:r>
      <w:r>
        <w:rPr>
          <w:sz w:val="28"/>
        </w:rPr>
        <w:t>позичальника;</w:t>
      </w:r>
    </w:p>
    <w:p>
      <w:pPr>
        <w:pStyle w:val="ListParagraph"/>
        <w:numPr>
          <w:ilvl w:val="0"/>
          <w:numId w:val="4"/>
        </w:numPr>
        <w:tabs>
          <w:tab w:pos="748" w:val="left" w:leader="none"/>
        </w:tabs>
        <w:spacing w:line="242" w:lineRule="auto" w:before="118" w:after="0"/>
        <w:ind w:left="747" w:right="109" w:hanging="548"/>
        <w:jc w:val="both"/>
        <w:rPr>
          <w:sz w:val="28"/>
        </w:rPr>
      </w:pPr>
      <w:r>
        <w:rPr>
          <w:sz w:val="28"/>
        </w:rPr>
        <w:t>платоспроможність позичальника погіршилася внаслідок змін загальнонаціональних або місцевих економічних умов, які чинять вплив на діяльність позичальника.</w:t>
      </w:r>
    </w:p>
    <w:p>
      <w:pPr>
        <w:pStyle w:val="BodyText"/>
        <w:spacing w:before="113"/>
        <w:ind w:right="103"/>
      </w:pPr>
      <w:r>
        <w:rPr/>
        <w:t>Для колективної оцінки знецінення фінансові активи групуються за схожими характеристиками кредитного ризику. </w:t>
      </w:r>
      <w:r>
        <w:rPr>
          <w:spacing w:val="-3"/>
        </w:rPr>
        <w:t>Ці </w:t>
      </w:r>
      <w:r>
        <w:rPr/>
        <w:t>характеристики відносяться до оцінки майбутніх грошових потоків для груп таких активів і свідчать про здатність</w:t>
      </w:r>
      <w:r>
        <w:rPr>
          <w:spacing w:val="-15"/>
        </w:rPr>
        <w:t> </w:t>
      </w:r>
      <w:r>
        <w:rPr/>
        <w:t>дебіторів</w:t>
      </w:r>
      <w:r>
        <w:rPr>
          <w:spacing w:val="-14"/>
        </w:rPr>
        <w:t> </w:t>
      </w:r>
      <w:r>
        <w:rPr/>
        <w:t>погасити</w:t>
      </w:r>
      <w:r>
        <w:rPr>
          <w:spacing w:val="-12"/>
        </w:rPr>
        <w:t> </w:t>
      </w:r>
      <w:r>
        <w:rPr/>
        <w:t>всі</w:t>
      </w:r>
      <w:r>
        <w:rPr>
          <w:spacing w:val="-18"/>
        </w:rPr>
        <w:t> </w:t>
      </w:r>
      <w:r>
        <w:rPr/>
        <w:t>належні</w:t>
      </w:r>
      <w:r>
        <w:rPr>
          <w:spacing w:val="-18"/>
        </w:rPr>
        <w:t> </w:t>
      </w:r>
      <w:r>
        <w:rPr/>
        <w:t>суми</w:t>
      </w:r>
      <w:r>
        <w:rPr>
          <w:spacing w:val="-11"/>
        </w:rPr>
        <w:t> </w:t>
      </w:r>
      <w:r>
        <w:rPr/>
        <w:t>відповідно</w:t>
      </w:r>
      <w:r>
        <w:rPr>
          <w:spacing w:val="-14"/>
        </w:rPr>
        <w:t> </w:t>
      </w:r>
      <w:r>
        <w:rPr/>
        <w:t>до</w:t>
      </w:r>
      <w:r>
        <w:rPr>
          <w:spacing w:val="-13"/>
        </w:rPr>
        <w:t> </w:t>
      </w:r>
      <w:r>
        <w:rPr/>
        <w:t>контрактних</w:t>
      </w:r>
      <w:r>
        <w:rPr>
          <w:spacing w:val="-15"/>
        </w:rPr>
        <w:t> </w:t>
      </w:r>
      <w:r>
        <w:rPr/>
        <w:t>умов у відношенні оцінюваних</w:t>
      </w:r>
      <w:r>
        <w:rPr>
          <w:spacing w:val="-8"/>
        </w:rPr>
        <w:t> </w:t>
      </w:r>
      <w:r>
        <w:rPr/>
        <w:t>активів.</w:t>
      </w:r>
    </w:p>
    <w:p>
      <w:pPr>
        <w:pStyle w:val="BodyText"/>
        <w:spacing w:line="235" w:lineRule="auto" w:before="201"/>
        <w:ind w:right="113"/>
      </w:pPr>
      <w:r>
        <w:rPr/>
        <w:t>Майбутні грошові потоки в групі фінансових активів, які колективно оцінюються на предмет знецінення, визначаються на основі контрактних грошових потоків, пов'язаних </w:t>
      </w:r>
      <w:r>
        <w:rPr>
          <w:spacing w:val="-3"/>
        </w:rPr>
        <w:t>із </w:t>
      </w:r>
      <w:r>
        <w:rPr/>
        <w:t>цими активами, та на основі</w:t>
      </w:r>
      <w:r>
        <w:rPr>
          <w:spacing w:val="51"/>
        </w:rPr>
        <w:t> </w:t>
      </w:r>
      <w:r>
        <w:rPr/>
        <w:t>досвіду</w:t>
      </w:r>
    </w:p>
    <w:p>
      <w:pPr>
        <w:spacing w:after="0" w:line="235" w:lineRule="auto"/>
        <w:sectPr>
          <w:pgSz w:w="11910" w:h="16840"/>
          <w:pgMar w:top="1040" w:bottom="280" w:left="1500" w:right="740"/>
        </w:sectPr>
      </w:pPr>
    </w:p>
    <w:p>
      <w:pPr>
        <w:pStyle w:val="BodyText"/>
        <w:spacing w:line="235" w:lineRule="auto" w:before="68"/>
        <w:ind w:right="118"/>
      </w:pPr>
      <w:r>
        <w:rPr/>
        <w:t>керівництва щодо прострочених сум, що виникнуть у майбутньому в результаті минулих збиткових подій, а також успішного повернення простроченої заборгованості. Дані минулих років коригуються з урахуванням поточних існуючих даних для відображення впливу поточних умов, які не впливали на попередні періоди, і для усунення впливу минулих умов, які не існують в даний час.</w:t>
      </w:r>
    </w:p>
    <w:p>
      <w:pPr>
        <w:pStyle w:val="BodyText"/>
        <w:spacing w:line="235" w:lineRule="auto" w:before="200"/>
        <w:ind w:right="108"/>
      </w:pPr>
      <w:r>
        <w:rPr/>
        <w:t>Якщо умови знеціненого фінансового активу, що обліковується за амортизованою вартістю, переглядаються чи іншим чином змінюються внаслідок</w:t>
      </w:r>
      <w:r>
        <w:rPr>
          <w:spacing w:val="-13"/>
        </w:rPr>
        <w:t> </w:t>
      </w:r>
      <w:r>
        <w:rPr/>
        <w:t>фінансових</w:t>
      </w:r>
      <w:r>
        <w:rPr>
          <w:spacing w:val="-14"/>
        </w:rPr>
        <w:t> </w:t>
      </w:r>
      <w:r>
        <w:rPr/>
        <w:t>труднощів</w:t>
      </w:r>
      <w:r>
        <w:rPr>
          <w:spacing w:val="-13"/>
        </w:rPr>
        <w:t> </w:t>
      </w:r>
      <w:r>
        <w:rPr/>
        <w:t>позичальника</w:t>
      </w:r>
      <w:r>
        <w:rPr>
          <w:spacing w:val="-10"/>
        </w:rPr>
        <w:t> </w:t>
      </w:r>
      <w:r>
        <w:rPr/>
        <w:t>чи</w:t>
      </w:r>
      <w:r>
        <w:rPr>
          <w:spacing w:val="-12"/>
        </w:rPr>
        <w:t> </w:t>
      </w:r>
      <w:r>
        <w:rPr/>
        <w:t>емітента,</w:t>
      </w:r>
      <w:r>
        <w:rPr>
          <w:spacing w:val="-11"/>
        </w:rPr>
        <w:t> </w:t>
      </w:r>
      <w:r>
        <w:rPr/>
        <w:t>знецінення</w:t>
      </w:r>
      <w:r>
        <w:rPr>
          <w:spacing w:val="-10"/>
        </w:rPr>
        <w:t> </w:t>
      </w:r>
      <w:r>
        <w:rPr/>
        <w:t>такого активу оцінюється </w:t>
      </w:r>
      <w:r>
        <w:rPr>
          <w:spacing w:val="-3"/>
        </w:rPr>
        <w:t>із </w:t>
      </w:r>
      <w:r>
        <w:rPr/>
        <w:t>використанням ефективної ставки відсотка, що використовувалася до зміни його</w:t>
      </w:r>
      <w:r>
        <w:rPr>
          <w:spacing w:val="10"/>
        </w:rPr>
        <w:t> </w:t>
      </w:r>
      <w:r>
        <w:rPr/>
        <w:t>умов.</w:t>
      </w:r>
    </w:p>
    <w:p>
      <w:pPr>
        <w:pStyle w:val="BodyText"/>
        <w:spacing w:line="235" w:lineRule="auto" w:before="199"/>
        <w:ind w:right="105"/>
      </w:pPr>
      <w:r>
        <w:rPr/>
        <w:t>Збитки від знецінення визнаються шляхом створення резерву в розмірі, необхідному для зменшення балансової вартості активу до теперішньої вартості очікуваних майбутніх грошових потоків (не враховуючи майбутніх, ще</w:t>
      </w:r>
      <w:r>
        <w:rPr>
          <w:spacing w:val="-17"/>
        </w:rPr>
        <w:t> </w:t>
      </w:r>
      <w:r>
        <w:rPr/>
        <w:t>не</w:t>
      </w:r>
      <w:r>
        <w:rPr>
          <w:spacing w:val="-17"/>
        </w:rPr>
        <w:t> </w:t>
      </w:r>
      <w:r>
        <w:rPr/>
        <w:t>понесених</w:t>
      </w:r>
      <w:r>
        <w:rPr>
          <w:spacing w:val="-20"/>
        </w:rPr>
        <w:t> </w:t>
      </w:r>
      <w:r>
        <w:rPr/>
        <w:t>кредитних</w:t>
      </w:r>
      <w:r>
        <w:rPr>
          <w:spacing w:val="-23"/>
        </w:rPr>
        <w:t> </w:t>
      </w:r>
      <w:r>
        <w:rPr/>
        <w:t>збитків),</w:t>
      </w:r>
      <w:r>
        <w:rPr>
          <w:spacing w:val="-16"/>
        </w:rPr>
        <w:t> </w:t>
      </w:r>
      <w:r>
        <w:rPr/>
        <w:t>дисконтованих</w:t>
      </w:r>
      <w:r>
        <w:rPr>
          <w:spacing w:val="-20"/>
        </w:rPr>
        <w:t> </w:t>
      </w:r>
      <w:r>
        <w:rPr/>
        <w:t>за</w:t>
      </w:r>
      <w:r>
        <w:rPr>
          <w:spacing w:val="-16"/>
        </w:rPr>
        <w:t> </w:t>
      </w:r>
      <w:r>
        <w:rPr/>
        <w:t>первісною</w:t>
      </w:r>
      <w:r>
        <w:rPr>
          <w:spacing w:val="-18"/>
        </w:rPr>
        <w:t> </w:t>
      </w:r>
      <w:r>
        <w:rPr/>
        <w:t>ефективною ставкою відсотка для даного активу. Розрахунок теперішньої вартості очікуваних майбутніх грошових потоків від фінансового активу, забезпеченого заставою, відображає грошові потоки, що можуть виникнути в результаті звернення щодо стягнення предмету застави за мінусом витрат на отримання та реалізацію застави, незалежно від того, наскільки ймовірно звернення щодо стягнення предмету</w:t>
      </w:r>
      <w:r>
        <w:rPr>
          <w:spacing w:val="2"/>
        </w:rPr>
        <w:t> </w:t>
      </w:r>
      <w:r>
        <w:rPr/>
        <w:t>застави.</w:t>
      </w:r>
    </w:p>
    <w:p>
      <w:pPr>
        <w:pStyle w:val="BodyText"/>
        <w:spacing w:line="235" w:lineRule="auto" w:before="196"/>
        <w:ind w:right="106"/>
      </w:pPr>
      <w:r>
        <w:rPr/>
        <w:t>Якщо в наступному періоді сума збитку від знецінення зменшується, і це зменшення може бути об'єктивно віднесене до події, що настала після визнання знецінення (як, наприклад, підвищення кредитного рейтингу дебітора), раніше відображений збиток від знецінення сторнується шляхом коригування створеного резерву через прибуток або збиток.</w:t>
      </w:r>
    </w:p>
    <w:p>
      <w:pPr>
        <w:pStyle w:val="BodyText"/>
        <w:spacing w:line="235" w:lineRule="auto" w:before="199"/>
        <w:ind w:right="109"/>
      </w:pPr>
      <w:r>
        <w:rPr/>
        <w:t>Активи, погашення яких неможливе, списуються за рахунок сформованого резерву під знецінення після завершення всіх необхідних процедур щодо відшкодування і після визначення остаточної суми збитку.</w:t>
      </w:r>
    </w:p>
    <w:p>
      <w:pPr>
        <w:spacing w:line="232" w:lineRule="auto" w:before="203"/>
        <w:ind w:left="199" w:right="114" w:firstLine="0"/>
        <w:jc w:val="both"/>
        <w:rPr>
          <w:sz w:val="28"/>
        </w:rPr>
      </w:pPr>
      <w:r>
        <w:rPr>
          <w:b/>
          <w:sz w:val="28"/>
        </w:rPr>
        <w:t>Грошові кошти та їх еквіваленти</w:t>
      </w:r>
      <w:r>
        <w:rPr>
          <w:sz w:val="28"/>
        </w:rPr>
        <w:t>. Грошові кошти та їх еквіваленти включають готівкові кошти та кошти на рахунках у банках .</w:t>
      </w:r>
    </w:p>
    <w:p>
      <w:pPr>
        <w:pStyle w:val="BodyText"/>
        <w:spacing w:line="232" w:lineRule="auto" w:before="206"/>
        <w:ind w:right="115"/>
      </w:pPr>
      <w:r>
        <w:rPr>
          <w:b/>
        </w:rPr>
        <w:t>Депозити в банках</w:t>
      </w:r>
      <w:r>
        <w:rPr/>
        <w:t>. Депозити в банках обліковуються за амортизованою вартістю за вирахуванням резерву на знецінення.</w:t>
      </w:r>
    </w:p>
    <w:p>
      <w:pPr>
        <w:pStyle w:val="BodyText"/>
        <w:spacing w:before="203"/>
        <w:ind w:right="112"/>
      </w:pPr>
      <w:r>
        <w:rPr>
          <w:b/>
        </w:rPr>
        <w:t>Дебіторська заборгованість та передплата</w:t>
      </w:r>
      <w:r>
        <w:rPr/>
        <w:t>. Дебіторська заборгованість обліковується за принципом нарахування і відображається за амортизованою вартістю. Дебіторська заборгованість визнається в разі виникнення юридичного права на отримання платежу згідно з договором. Передплата визнається</w:t>
      </w:r>
      <w:r>
        <w:rPr>
          <w:spacing w:val="-8"/>
        </w:rPr>
        <w:t> </w:t>
      </w:r>
      <w:r>
        <w:rPr/>
        <w:t>на</w:t>
      </w:r>
      <w:r>
        <w:rPr>
          <w:spacing w:val="-8"/>
        </w:rPr>
        <w:t> </w:t>
      </w:r>
      <w:r>
        <w:rPr/>
        <w:t>дату</w:t>
      </w:r>
      <w:r>
        <w:rPr>
          <w:spacing w:val="-13"/>
        </w:rPr>
        <w:t> </w:t>
      </w:r>
      <w:r>
        <w:rPr/>
        <w:t>платежу</w:t>
      </w:r>
      <w:r>
        <w:rPr>
          <w:spacing w:val="-13"/>
        </w:rPr>
        <w:t> </w:t>
      </w:r>
      <w:r>
        <w:rPr/>
        <w:t>та</w:t>
      </w:r>
      <w:r>
        <w:rPr>
          <w:spacing w:val="-8"/>
        </w:rPr>
        <w:t> </w:t>
      </w:r>
      <w:r>
        <w:rPr/>
        <w:t>відображається</w:t>
      </w:r>
      <w:r>
        <w:rPr>
          <w:spacing w:val="-7"/>
        </w:rPr>
        <w:t> </w:t>
      </w:r>
      <w:r>
        <w:rPr/>
        <w:t>у</w:t>
      </w:r>
      <w:r>
        <w:rPr>
          <w:spacing w:val="-13"/>
        </w:rPr>
        <w:t> </w:t>
      </w:r>
      <w:r>
        <w:rPr/>
        <w:t>звіті</w:t>
      </w:r>
      <w:r>
        <w:rPr>
          <w:spacing w:val="-14"/>
        </w:rPr>
        <w:t> </w:t>
      </w:r>
      <w:r>
        <w:rPr/>
        <w:t>про</w:t>
      </w:r>
      <w:r>
        <w:rPr>
          <w:spacing w:val="-8"/>
        </w:rPr>
        <w:t> </w:t>
      </w:r>
      <w:r>
        <w:rPr/>
        <w:t>сукупні</w:t>
      </w:r>
      <w:r>
        <w:rPr>
          <w:spacing w:val="-14"/>
        </w:rPr>
        <w:t> </w:t>
      </w:r>
      <w:r>
        <w:rPr/>
        <w:t>доходи</w:t>
      </w:r>
      <w:r>
        <w:rPr>
          <w:spacing w:val="-8"/>
        </w:rPr>
        <w:t> </w:t>
      </w:r>
      <w:r>
        <w:rPr/>
        <w:t>після надання</w:t>
      </w:r>
      <w:r>
        <w:rPr>
          <w:spacing w:val="1"/>
        </w:rPr>
        <w:t> </w:t>
      </w:r>
      <w:r>
        <w:rPr/>
        <w:t>послуг.</w:t>
      </w:r>
    </w:p>
    <w:p>
      <w:pPr>
        <w:spacing w:after="0"/>
        <w:sectPr>
          <w:pgSz w:w="11910" w:h="16840"/>
          <w:pgMar w:top="1040" w:bottom="280" w:left="1500" w:right="740"/>
        </w:sectPr>
      </w:pPr>
    </w:p>
    <w:p>
      <w:pPr>
        <w:pStyle w:val="BodyText"/>
        <w:spacing w:before="67"/>
        <w:ind w:right="107"/>
      </w:pPr>
      <w:r>
        <w:rPr>
          <w:b/>
        </w:rPr>
        <w:t>Обладнання та інші основні засоби</w:t>
      </w:r>
      <w:r>
        <w:rPr/>
        <w:t>. Обладнання та інші основні засоби обліковуються за первісною вартістю за вирахуванням накопиченої амортизації та резерву на знецінення, якщо необхідно.</w:t>
      </w:r>
    </w:p>
    <w:p>
      <w:pPr>
        <w:pStyle w:val="BodyText"/>
        <w:spacing w:before="202"/>
        <w:ind w:right="114"/>
      </w:pPr>
      <w:r>
        <w:rPr/>
        <w:t>Витрати на незначний ремонт й технічне обслуговування відносяться на витрати</w:t>
      </w:r>
      <w:r>
        <w:rPr>
          <w:spacing w:val="-20"/>
        </w:rPr>
        <w:t> </w:t>
      </w:r>
      <w:r>
        <w:rPr/>
        <w:t>в</w:t>
      </w:r>
      <w:r>
        <w:rPr>
          <w:spacing w:val="-21"/>
        </w:rPr>
        <w:t> </w:t>
      </w:r>
      <w:r>
        <w:rPr/>
        <w:t>міру</w:t>
      </w:r>
      <w:r>
        <w:rPr>
          <w:spacing w:val="-19"/>
        </w:rPr>
        <w:t> </w:t>
      </w:r>
      <w:r>
        <w:rPr/>
        <w:t>їх</w:t>
      </w:r>
      <w:r>
        <w:rPr>
          <w:spacing w:val="-24"/>
        </w:rPr>
        <w:t> </w:t>
      </w:r>
      <w:r>
        <w:rPr/>
        <w:t>здійснення.</w:t>
      </w:r>
      <w:r>
        <w:rPr>
          <w:spacing w:val="-18"/>
        </w:rPr>
        <w:t> </w:t>
      </w:r>
      <w:r>
        <w:rPr/>
        <w:t>Вартість</w:t>
      </w:r>
      <w:r>
        <w:rPr>
          <w:spacing w:val="-21"/>
        </w:rPr>
        <w:t> </w:t>
      </w:r>
      <w:r>
        <w:rPr/>
        <w:t>заміни</w:t>
      </w:r>
      <w:r>
        <w:rPr>
          <w:spacing w:val="-19"/>
        </w:rPr>
        <w:t> </w:t>
      </w:r>
      <w:r>
        <w:rPr/>
        <w:t>значних</w:t>
      </w:r>
      <w:r>
        <w:rPr>
          <w:spacing w:val="-24"/>
        </w:rPr>
        <w:t> </w:t>
      </w:r>
      <w:r>
        <w:rPr/>
        <w:t>компонентів</w:t>
      </w:r>
      <w:r>
        <w:rPr>
          <w:spacing w:val="-21"/>
        </w:rPr>
        <w:t> </w:t>
      </w:r>
      <w:r>
        <w:rPr/>
        <w:t>обладнання та інших основних засобів капіталізується, а компоненти, що були замінені, списуються.</w:t>
      </w:r>
    </w:p>
    <w:p>
      <w:pPr>
        <w:pStyle w:val="BodyText"/>
        <w:spacing w:before="200"/>
        <w:ind w:right="104"/>
      </w:pPr>
      <w:r>
        <w:rPr>
          <w:spacing w:val="-3"/>
        </w:rPr>
        <w:t>На </w:t>
      </w:r>
      <w:r>
        <w:rPr/>
        <w:t>кінець кожного звітного періоду керівництво оцінює наявність ознак знецінення обладнання та інших основних засобів. Якщо такі ознаки знецінення існують, керівництво Компанії оцінює відшкодовану суму, яка дорівнює справедливій вартості активу мінус витрати на продаж або вартості його використання, в залежності від того, яка з них вища. Балансова вартість активу зменшується до суми його очікуваного відшкодування, а збиток від знецінення визнається у складі прибутку чи збитку за рік. Збиток від знецінення активу, визнаний у попередніх періодах, сторнується, якщо відбулися зміни в розрахунках, що застосовувалися для визначення вартості використання</w:t>
      </w:r>
      <w:r>
        <w:rPr>
          <w:spacing w:val="-13"/>
        </w:rPr>
        <w:t> </w:t>
      </w:r>
      <w:r>
        <w:rPr/>
        <w:t>активу</w:t>
      </w:r>
      <w:r>
        <w:rPr>
          <w:spacing w:val="-18"/>
        </w:rPr>
        <w:t> </w:t>
      </w:r>
      <w:r>
        <w:rPr/>
        <w:t>або</w:t>
      </w:r>
      <w:r>
        <w:rPr>
          <w:spacing w:val="-9"/>
        </w:rPr>
        <w:t> </w:t>
      </w:r>
      <w:r>
        <w:rPr/>
        <w:t>його</w:t>
      </w:r>
      <w:r>
        <w:rPr>
          <w:spacing w:val="-14"/>
        </w:rPr>
        <w:t> </w:t>
      </w:r>
      <w:r>
        <w:rPr/>
        <w:t>справедливої</w:t>
      </w:r>
      <w:r>
        <w:rPr>
          <w:spacing w:val="-18"/>
        </w:rPr>
        <w:t> </w:t>
      </w:r>
      <w:r>
        <w:rPr/>
        <w:t>вартості</w:t>
      </w:r>
      <w:r>
        <w:rPr>
          <w:spacing w:val="-15"/>
        </w:rPr>
        <w:t> </w:t>
      </w:r>
      <w:r>
        <w:rPr/>
        <w:t>мінус</w:t>
      </w:r>
      <w:r>
        <w:rPr>
          <w:spacing w:val="-7"/>
        </w:rPr>
        <w:t> </w:t>
      </w:r>
      <w:r>
        <w:rPr/>
        <w:t>витрати</w:t>
      </w:r>
      <w:r>
        <w:rPr>
          <w:spacing w:val="-13"/>
        </w:rPr>
        <w:t> </w:t>
      </w:r>
      <w:r>
        <w:rPr/>
        <w:t>на</w:t>
      </w:r>
      <w:r>
        <w:rPr>
          <w:spacing w:val="-13"/>
        </w:rPr>
        <w:t> </w:t>
      </w:r>
      <w:r>
        <w:rPr/>
        <w:t>продаж.</w:t>
      </w:r>
    </w:p>
    <w:p>
      <w:pPr>
        <w:pStyle w:val="BodyText"/>
        <w:spacing w:before="203"/>
        <w:ind w:right="112"/>
      </w:pPr>
      <w:r>
        <w:rPr/>
        <w:t>Прибуток та збитки від вибуття обладнання та інших основних засобів, визначені як різниця між сумою надходжень від вибуття та балансовою вартістю активу на дату вибуття відображаються у складі прибутку чи збитку за рік (в інших операційних доходах або витратах).</w:t>
      </w:r>
    </w:p>
    <w:p>
      <w:pPr>
        <w:pStyle w:val="BodyText"/>
        <w:spacing w:before="201"/>
        <w:ind w:right="108"/>
      </w:pPr>
      <w:r>
        <w:rPr>
          <w:b/>
        </w:rPr>
        <w:t>Амортизація</w:t>
      </w:r>
      <w:r>
        <w:rPr/>
        <w:t>. Амортизація устаткування й інших основних засобів розраховується лінійним методом для розподілу їх первісної вартості до ліквідаційної вартості протягом строку їх експлуатації за такими нормами:</w:t>
      </w:r>
    </w:p>
    <w:p>
      <w:pPr>
        <w:pStyle w:val="BodyText"/>
        <w:spacing w:before="9"/>
        <w:ind w:left="0"/>
        <w:jc w:val="left"/>
        <w:rPr>
          <w:sz w:val="17"/>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72"/>
        <w:gridCol w:w="3237"/>
      </w:tblGrid>
      <w:tr>
        <w:trPr>
          <w:trHeight w:val="626" w:hRule="atLeast"/>
        </w:trPr>
        <w:tc>
          <w:tcPr>
            <w:tcW w:w="5772" w:type="dxa"/>
          </w:tcPr>
          <w:p>
            <w:pPr>
              <w:pStyle w:val="TableParagraph"/>
              <w:spacing w:line="240" w:lineRule="auto"/>
              <w:ind w:left="0"/>
              <w:rPr>
                <w:sz w:val="26"/>
              </w:rPr>
            </w:pPr>
          </w:p>
        </w:tc>
        <w:tc>
          <w:tcPr>
            <w:tcW w:w="3237" w:type="dxa"/>
          </w:tcPr>
          <w:p>
            <w:pPr>
              <w:pStyle w:val="TableParagraph"/>
              <w:spacing w:line="306" w:lineRule="exact"/>
              <w:ind w:left="0" w:right="203"/>
              <w:jc w:val="right"/>
              <w:rPr>
                <w:sz w:val="28"/>
              </w:rPr>
            </w:pPr>
            <w:r>
              <w:rPr>
                <w:sz w:val="28"/>
              </w:rPr>
              <w:t>Строки</w:t>
            </w:r>
            <w:r>
              <w:rPr>
                <w:spacing w:val="-18"/>
                <w:sz w:val="28"/>
              </w:rPr>
              <w:t> </w:t>
            </w:r>
            <w:r>
              <w:rPr>
                <w:sz w:val="28"/>
              </w:rPr>
              <w:t>експлуатації,</w:t>
            </w:r>
          </w:p>
          <w:p>
            <w:pPr>
              <w:pStyle w:val="TableParagraph"/>
              <w:spacing w:line="301" w:lineRule="exact"/>
              <w:ind w:left="0" w:right="200"/>
              <w:jc w:val="right"/>
              <w:rPr>
                <w:sz w:val="28"/>
              </w:rPr>
            </w:pPr>
            <w:r>
              <w:rPr>
                <w:spacing w:val="-1"/>
                <w:w w:val="95"/>
                <w:sz w:val="28"/>
              </w:rPr>
              <w:t>років</w:t>
            </w:r>
          </w:p>
        </w:tc>
      </w:tr>
      <w:tr>
        <w:trPr>
          <w:trHeight w:val="314" w:hRule="atLeast"/>
        </w:trPr>
        <w:tc>
          <w:tcPr>
            <w:tcW w:w="5772" w:type="dxa"/>
          </w:tcPr>
          <w:p>
            <w:pPr>
              <w:pStyle w:val="TableParagraph"/>
              <w:spacing w:line="295" w:lineRule="exact"/>
              <w:ind w:left="200"/>
              <w:rPr>
                <w:sz w:val="28"/>
              </w:rPr>
            </w:pPr>
            <w:r>
              <w:rPr>
                <w:sz w:val="28"/>
              </w:rPr>
              <w:t>Машини та обладнання</w:t>
            </w:r>
          </w:p>
        </w:tc>
        <w:tc>
          <w:tcPr>
            <w:tcW w:w="3237" w:type="dxa"/>
          </w:tcPr>
          <w:p>
            <w:pPr>
              <w:pStyle w:val="TableParagraph"/>
              <w:spacing w:line="295" w:lineRule="exact"/>
              <w:ind w:left="0" w:right="197"/>
              <w:jc w:val="right"/>
              <w:rPr>
                <w:sz w:val="28"/>
              </w:rPr>
            </w:pPr>
            <w:r>
              <w:rPr>
                <w:w w:val="99"/>
                <w:sz w:val="28"/>
              </w:rPr>
              <w:t>5</w:t>
            </w:r>
          </w:p>
        </w:tc>
      </w:tr>
      <w:tr>
        <w:trPr>
          <w:trHeight w:val="317" w:hRule="atLeast"/>
        </w:trPr>
        <w:tc>
          <w:tcPr>
            <w:tcW w:w="5772" w:type="dxa"/>
          </w:tcPr>
          <w:p>
            <w:pPr>
              <w:pStyle w:val="TableParagraph"/>
              <w:spacing w:line="297" w:lineRule="exact"/>
              <w:ind w:left="200"/>
              <w:rPr>
                <w:sz w:val="28"/>
              </w:rPr>
            </w:pPr>
            <w:r>
              <w:rPr>
                <w:sz w:val="28"/>
              </w:rPr>
              <w:t>Транспортні засоби</w:t>
            </w:r>
          </w:p>
        </w:tc>
        <w:tc>
          <w:tcPr>
            <w:tcW w:w="3237" w:type="dxa"/>
          </w:tcPr>
          <w:p>
            <w:pPr>
              <w:pStyle w:val="TableParagraph"/>
              <w:spacing w:line="297" w:lineRule="exact"/>
              <w:ind w:left="0" w:right="197"/>
              <w:jc w:val="right"/>
              <w:rPr>
                <w:sz w:val="28"/>
              </w:rPr>
            </w:pPr>
            <w:r>
              <w:rPr>
                <w:w w:val="99"/>
                <w:sz w:val="28"/>
              </w:rPr>
              <w:t>5</w:t>
            </w:r>
          </w:p>
        </w:tc>
      </w:tr>
      <w:tr>
        <w:trPr>
          <w:trHeight w:val="312" w:hRule="atLeast"/>
        </w:trPr>
        <w:tc>
          <w:tcPr>
            <w:tcW w:w="5772" w:type="dxa"/>
          </w:tcPr>
          <w:p>
            <w:pPr>
              <w:pStyle w:val="TableParagraph"/>
              <w:spacing w:line="293" w:lineRule="exact"/>
              <w:ind w:left="200"/>
              <w:rPr>
                <w:sz w:val="28"/>
              </w:rPr>
            </w:pPr>
            <w:r>
              <w:rPr>
                <w:sz w:val="28"/>
              </w:rPr>
              <w:t>Інші основні засоби</w:t>
            </w:r>
          </w:p>
        </w:tc>
        <w:tc>
          <w:tcPr>
            <w:tcW w:w="3237" w:type="dxa"/>
          </w:tcPr>
          <w:p>
            <w:pPr>
              <w:pStyle w:val="TableParagraph"/>
              <w:spacing w:line="293" w:lineRule="exact"/>
              <w:ind w:left="0" w:right="197"/>
              <w:jc w:val="right"/>
              <w:rPr>
                <w:sz w:val="28"/>
              </w:rPr>
            </w:pPr>
            <w:r>
              <w:rPr>
                <w:w w:val="95"/>
                <w:sz w:val="28"/>
              </w:rPr>
              <w:t>10</w:t>
            </w:r>
          </w:p>
        </w:tc>
      </w:tr>
    </w:tbl>
    <w:p>
      <w:pPr>
        <w:pStyle w:val="BodyText"/>
        <w:ind w:left="0"/>
        <w:jc w:val="left"/>
        <w:rPr>
          <w:sz w:val="30"/>
        </w:rPr>
      </w:pPr>
    </w:p>
    <w:p>
      <w:pPr>
        <w:pStyle w:val="BodyText"/>
        <w:ind w:left="0"/>
        <w:jc w:val="left"/>
        <w:rPr>
          <w:sz w:val="30"/>
        </w:rPr>
      </w:pPr>
    </w:p>
    <w:p>
      <w:pPr>
        <w:pStyle w:val="BodyText"/>
        <w:spacing w:before="2"/>
        <w:ind w:left="0"/>
        <w:jc w:val="left"/>
        <w:rPr>
          <w:sz w:val="43"/>
        </w:rPr>
      </w:pPr>
    </w:p>
    <w:p>
      <w:pPr>
        <w:pStyle w:val="BodyText"/>
        <w:spacing w:line="235" w:lineRule="auto"/>
        <w:ind w:right="108"/>
      </w:pPr>
      <w:r>
        <w:rPr>
          <w:b/>
        </w:rPr>
        <w:t>Ліквідаційна вартість активу </w:t>
      </w:r>
      <w:r>
        <w:rPr/>
        <w:t>- це розрахункова сума, яку Товариство б отримало в даний час від вибуття активу, за вирахуванням витрат на реалізацію, якби актив вже був у тому віці та в тому стані, які очікуються в кінці терміну його експлуатації. Ліквідаційна вартість і терміни експлуатації активів переглядаються та, за необхідності, коригуються на кінець кожного звітного періоду.</w:t>
      </w:r>
    </w:p>
    <w:p>
      <w:pPr>
        <w:pStyle w:val="BodyText"/>
        <w:spacing w:before="199"/>
        <w:ind w:right="108"/>
      </w:pPr>
      <w:r>
        <w:rPr>
          <w:b/>
        </w:rPr>
        <w:t>Нематеріальні активи</w:t>
      </w:r>
      <w:r>
        <w:rPr/>
        <w:t>. Нематеріальні активи Товариства включають капіталізоване комп’ютерне програмне забезпечення та ліцензії товариства. Нематеріальні активи обліковуються за їхньою вартістю придбання.</w:t>
      </w:r>
      <w:r>
        <w:rPr>
          <w:spacing w:val="56"/>
        </w:rPr>
        <w:t> </w:t>
      </w:r>
      <w:r>
        <w:rPr/>
        <w:t>Витрати</w:t>
      </w:r>
    </w:p>
    <w:p>
      <w:pPr>
        <w:spacing w:after="0"/>
        <w:sectPr>
          <w:pgSz w:w="11910" w:h="16840"/>
          <w:pgMar w:top="1040" w:bottom="280" w:left="1500" w:right="740"/>
        </w:sectPr>
      </w:pPr>
    </w:p>
    <w:p>
      <w:pPr>
        <w:pStyle w:val="BodyText"/>
        <w:spacing w:before="67"/>
        <w:ind w:right="109"/>
      </w:pPr>
      <w:r>
        <w:rPr/>
        <w:t>на придбання нематеріальних активів капіталізуються та амортизуються за лінійним методом протягом розрахункового строку служби активів. Розрахунковий строк служби для програмного забезпечення встановлено 5 років. Ліцензія на надання коштів у позику, в тому числі і на умовах фінансового</w:t>
      </w:r>
      <w:r>
        <w:rPr>
          <w:spacing w:val="-8"/>
        </w:rPr>
        <w:t> </w:t>
      </w:r>
      <w:r>
        <w:rPr/>
        <w:t>кредиту</w:t>
      </w:r>
      <w:r>
        <w:rPr>
          <w:spacing w:val="-19"/>
        </w:rPr>
        <w:t> </w:t>
      </w:r>
      <w:r>
        <w:rPr/>
        <w:t>з</w:t>
      </w:r>
      <w:r>
        <w:rPr>
          <w:spacing w:val="-8"/>
        </w:rPr>
        <w:t> </w:t>
      </w:r>
      <w:r>
        <w:rPr/>
        <w:t>необмеженим</w:t>
      </w:r>
      <w:r>
        <w:rPr>
          <w:spacing w:val="-7"/>
        </w:rPr>
        <w:t> </w:t>
      </w:r>
      <w:r>
        <w:rPr/>
        <w:t>терміном</w:t>
      </w:r>
      <w:r>
        <w:rPr>
          <w:spacing w:val="-8"/>
        </w:rPr>
        <w:t> </w:t>
      </w:r>
      <w:r>
        <w:rPr/>
        <w:t>дії</w:t>
      </w:r>
      <w:r>
        <w:rPr>
          <w:spacing w:val="-13"/>
        </w:rPr>
        <w:t> </w:t>
      </w:r>
      <w:r>
        <w:rPr/>
        <w:t>не</w:t>
      </w:r>
      <w:r>
        <w:rPr>
          <w:spacing w:val="-8"/>
        </w:rPr>
        <w:t> </w:t>
      </w:r>
      <w:r>
        <w:rPr/>
        <w:t>амортизуються</w:t>
      </w:r>
      <w:r>
        <w:rPr>
          <w:spacing w:val="-2"/>
        </w:rPr>
        <w:t> </w:t>
      </w:r>
      <w:r>
        <w:rPr/>
        <w:t>і</w:t>
      </w:r>
      <w:r>
        <w:rPr>
          <w:spacing w:val="-14"/>
        </w:rPr>
        <w:t> </w:t>
      </w:r>
      <w:r>
        <w:rPr/>
        <w:t>щорічно переглядається на наявність ознак невизначеності строку її використання та можливого зменшення корисності</w:t>
      </w:r>
      <w:r>
        <w:rPr>
          <w:spacing w:val="-3"/>
        </w:rPr>
        <w:t> </w:t>
      </w:r>
      <w:r>
        <w:rPr/>
        <w:t>активу.</w:t>
      </w:r>
    </w:p>
    <w:p>
      <w:pPr>
        <w:pStyle w:val="BodyText"/>
        <w:spacing w:before="123"/>
        <w:ind w:right="116"/>
      </w:pPr>
      <w:r>
        <w:rPr/>
        <w:t>Після списання нематеріальних активів їхня первісна вартість, разом з відповідними сумами накопиченої амортизації, вилучається з облікових записів.</w:t>
      </w:r>
    </w:p>
    <w:p>
      <w:pPr>
        <w:pStyle w:val="BodyText"/>
        <w:ind w:right="104"/>
      </w:pPr>
      <w:r>
        <w:rPr>
          <w:b/>
        </w:rPr>
        <w:t>Запаси</w:t>
      </w:r>
      <w:r>
        <w:rPr/>
        <w:t>. Запаси на дату звітності оцінюються за найменшою з двох вартостей: витратами на придбання або чистою вартістю реалізації. Товариство визнає запаси активами, якщо вони: а) утримуються для продажу у звичайному ході бізнесу; б) перебувають у процесі виробництва для такого продажу або в) існують у формі основних чи допоміжних матеріалів для споживання у виробничому процесі або при наданні послуг. Запаси оцінюються за собівартістю (витрати на придбання). Витрати на придбання складаються з ціни придбання, ввізного мита та ін. податків, окрім тих, що згодом відшкодовуються</w:t>
      </w:r>
      <w:r>
        <w:rPr>
          <w:spacing w:val="-15"/>
        </w:rPr>
        <w:t> </w:t>
      </w:r>
      <w:r>
        <w:rPr/>
        <w:t>податковими</w:t>
      </w:r>
      <w:r>
        <w:rPr>
          <w:spacing w:val="-15"/>
        </w:rPr>
        <w:t> </w:t>
      </w:r>
      <w:r>
        <w:rPr/>
        <w:t>органами.</w:t>
      </w:r>
      <w:r>
        <w:rPr>
          <w:spacing w:val="-13"/>
        </w:rPr>
        <w:t> </w:t>
      </w:r>
      <w:r>
        <w:rPr/>
        <w:t>Торговельні</w:t>
      </w:r>
      <w:r>
        <w:rPr>
          <w:spacing w:val="-20"/>
        </w:rPr>
        <w:t> </w:t>
      </w:r>
      <w:r>
        <w:rPr/>
        <w:t>знижки,</w:t>
      </w:r>
      <w:r>
        <w:rPr>
          <w:spacing w:val="-9"/>
        </w:rPr>
        <w:t> </w:t>
      </w:r>
      <w:r>
        <w:rPr/>
        <w:t>інші</w:t>
      </w:r>
      <w:r>
        <w:rPr>
          <w:spacing w:val="-20"/>
        </w:rPr>
        <w:t> </w:t>
      </w:r>
      <w:r>
        <w:rPr/>
        <w:t>знижки</w:t>
      </w:r>
      <w:r>
        <w:rPr>
          <w:spacing w:val="-15"/>
        </w:rPr>
        <w:t> </w:t>
      </w:r>
      <w:r>
        <w:rPr/>
        <w:t>та інші подібні </w:t>
      </w:r>
      <w:r>
        <w:rPr>
          <w:spacing w:val="-3"/>
        </w:rPr>
        <w:t>їм </w:t>
      </w:r>
      <w:r>
        <w:rPr/>
        <w:t>статті вираховуються при визначенні витрат на придбання. Собівартість одиниці запасів при вибутті визначається на підставі методу ФІФО, тобто по собівартості перших за часом надходження</w:t>
      </w:r>
      <w:r>
        <w:rPr>
          <w:spacing w:val="-6"/>
        </w:rPr>
        <w:t> </w:t>
      </w:r>
      <w:r>
        <w:rPr/>
        <w:t>запасів.</w:t>
      </w:r>
    </w:p>
    <w:p>
      <w:pPr>
        <w:pStyle w:val="BodyText"/>
        <w:spacing w:before="1"/>
        <w:ind w:left="0"/>
        <w:jc w:val="left"/>
      </w:pPr>
    </w:p>
    <w:p>
      <w:pPr>
        <w:pStyle w:val="BodyText"/>
        <w:spacing w:line="235" w:lineRule="auto"/>
        <w:ind w:right="104"/>
      </w:pPr>
      <w:r>
        <w:rPr>
          <w:b/>
        </w:rPr>
        <w:t>Операційна оренда</w:t>
      </w:r>
      <w:r>
        <w:rPr/>
        <w:t>. Коли Товариство виступає в ролі орендаря в рамках договору оренди, за яким всі ризики та вигоди, притаманні володінню активом, в основному не передаються орендодавцем Товариством, загальна сума</w:t>
      </w:r>
      <w:r>
        <w:rPr>
          <w:spacing w:val="-11"/>
        </w:rPr>
        <w:t> </w:t>
      </w:r>
      <w:r>
        <w:rPr/>
        <w:t>орендних</w:t>
      </w:r>
      <w:r>
        <w:rPr>
          <w:spacing w:val="-17"/>
        </w:rPr>
        <w:t> </w:t>
      </w:r>
      <w:r>
        <w:rPr/>
        <w:t>платежів</w:t>
      </w:r>
      <w:r>
        <w:rPr>
          <w:spacing w:val="-13"/>
        </w:rPr>
        <w:t> </w:t>
      </w:r>
      <w:r>
        <w:rPr/>
        <w:t>відноситься</w:t>
      </w:r>
      <w:r>
        <w:rPr>
          <w:spacing w:val="-10"/>
        </w:rPr>
        <w:t> </w:t>
      </w:r>
      <w:r>
        <w:rPr/>
        <w:t>на</w:t>
      </w:r>
      <w:r>
        <w:rPr>
          <w:spacing w:val="-11"/>
        </w:rPr>
        <w:t> </w:t>
      </w:r>
      <w:r>
        <w:rPr/>
        <w:t>прибуток</w:t>
      </w:r>
      <w:r>
        <w:rPr>
          <w:spacing w:val="-14"/>
        </w:rPr>
        <w:t> </w:t>
      </w:r>
      <w:r>
        <w:rPr/>
        <w:t>або</w:t>
      </w:r>
      <w:r>
        <w:rPr>
          <w:spacing w:val="-12"/>
        </w:rPr>
        <w:t> </w:t>
      </w:r>
      <w:r>
        <w:rPr/>
        <w:t>збиток</w:t>
      </w:r>
      <w:r>
        <w:rPr>
          <w:spacing w:val="-6"/>
        </w:rPr>
        <w:t> </w:t>
      </w:r>
      <w:r>
        <w:rPr>
          <w:spacing w:val="-3"/>
        </w:rPr>
        <w:t>із</w:t>
      </w:r>
      <w:r>
        <w:rPr>
          <w:spacing w:val="-13"/>
        </w:rPr>
        <w:t> </w:t>
      </w:r>
      <w:r>
        <w:rPr/>
        <w:t>використанням методу рівномірного списання протягом строку</w:t>
      </w:r>
      <w:r>
        <w:rPr>
          <w:spacing w:val="4"/>
        </w:rPr>
        <w:t> </w:t>
      </w:r>
      <w:r>
        <w:rPr/>
        <w:t>оренди.</w:t>
      </w:r>
    </w:p>
    <w:p>
      <w:pPr>
        <w:pStyle w:val="BodyText"/>
        <w:spacing w:line="232" w:lineRule="auto" w:before="201"/>
        <w:ind w:right="106"/>
      </w:pPr>
      <w:r>
        <w:rPr/>
        <w:t>Оренда, включена в інші договори, виділяється, якщо (а) виконання договору пов'язане з використанням конкретного активу або активів та (б) договір передбачає передачу права на використання активу.</w:t>
      </w:r>
    </w:p>
    <w:p>
      <w:pPr>
        <w:pStyle w:val="BodyText"/>
        <w:spacing w:line="235" w:lineRule="auto" w:before="204"/>
        <w:ind w:right="104"/>
      </w:pPr>
      <w:r>
        <w:rPr>
          <w:b/>
        </w:rPr>
        <w:t>Податки на прибуток</w:t>
      </w:r>
      <w:r>
        <w:rPr/>
        <w:t>. Податки на прибуток відображені у фінансовій звітності</w:t>
      </w:r>
      <w:r>
        <w:rPr>
          <w:spacing w:val="-21"/>
        </w:rPr>
        <w:t> </w:t>
      </w:r>
      <w:r>
        <w:rPr/>
        <w:t>відповідно</w:t>
      </w:r>
      <w:r>
        <w:rPr>
          <w:spacing w:val="-21"/>
        </w:rPr>
        <w:t> </w:t>
      </w:r>
      <w:r>
        <w:rPr/>
        <w:t>до</w:t>
      </w:r>
      <w:r>
        <w:rPr>
          <w:spacing w:val="-21"/>
        </w:rPr>
        <w:t> </w:t>
      </w:r>
      <w:r>
        <w:rPr/>
        <w:t>законодавства,</w:t>
      </w:r>
      <w:r>
        <w:rPr>
          <w:spacing w:val="-18"/>
        </w:rPr>
        <w:t> </w:t>
      </w:r>
      <w:r>
        <w:rPr/>
        <w:t>яке</w:t>
      </w:r>
      <w:r>
        <w:rPr>
          <w:spacing w:val="-19"/>
        </w:rPr>
        <w:t> </w:t>
      </w:r>
      <w:r>
        <w:rPr/>
        <w:t>вступило</w:t>
      </w:r>
      <w:r>
        <w:rPr>
          <w:spacing w:val="-19"/>
        </w:rPr>
        <w:t> </w:t>
      </w:r>
      <w:r>
        <w:rPr/>
        <w:t>в</w:t>
      </w:r>
      <w:r>
        <w:rPr>
          <w:spacing w:val="-23"/>
        </w:rPr>
        <w:t> </w:t>
      </w:r>
      <w:r>
        <w:rPr/>
        <w:t>дію</w:t>
      </w:r>
      <w:r>
        <w:rPr>
          <w:spacing w:val="-22"/>
        </w:rPr>
        <w:t> </w:t>
      </w:r>
      <w:r>
        <w:rPr/>
        <w:t>або</w:t>
      </w:r>
      <w:r>
        <w:rPr>
          <w:spacing w:val="-20"/>
        </w:rPr>
        <w:t> </w:t>
      </w:r>
      <w:r>
        <w:rPr/>
        <w:t>має</w:t>
      </w:r>
      <w:r>
        <w:rPr>
          <w:spacing w:val="-20"/>
        </w:rPr>
        <w:t> </w:t>
      </w:r>
      <w:r>
        <w:rPr/>
        <w:t>бути</w:t>
      </w:r>
      <w:r>
        <w:rPr>
          <w:spacing w:val="-21"/>
        </w:rPr>
        <w:t> </w:t>
      </w:r>
      <w:r>
        <w:rPr/>
        <w:t>введено в дію станом на кінець звітного періоду. Витрати з податку на прибуток включають поточний податок і відстрочений податок і визнаються у складі прибутку чи збитку за рік, крім випадків, коли вони відносяться до операцій, визнаних в інших сукупних доходах або безпосередньо у складі капіталу, в тому ж або іншому</w:t>
      </w:r>
      <w:r>
        <w:rPr>
          <w:spacing w:val="-2"/>
        </w:rPr>
        <w:t> </w:t>
      </w:r>
      <w:r>
        <w:rPr/>
        <w:t>періоді.</w:t>
      </w:r>
    </w:p>
    <w:p>
      <w:pPr>
        <w:pStyle w:val="BodyText"/>
        <w:spacing w:line="235" w:lineRule="auto" w:before="201"/>
        <w:ind w:right="108"/>
      </w:pPr>
      <w:r>
        <w:rPr>
          <w:b/>
        </w:rPr>
        <w:t>Поточний</w:t>
      </w:r>
      <w:r>
        <w:rPr>
          <w:b/>
          <w:spacing w:val="-4"/>
        </w:rPr>
        <w:t> </w:t>
      </w:r>
      <w:r>
        <w:rPr>
          <w:b/>
        </w:rPr>
        <w:t>податок</w:t>
      </w:r>
      <w:r>
        <w:rPr>
          <w:b/>
          <w:spacing w:val="-7"/>
        </w:rPr>
        <w:t> </w:t>
      </w:r>
      <w:r>
        <w:rPr/>
        <w:t>-</w:t>
      </w:r>
      <w:r>
        <w:rPr>
          <w:spacing w:val="-4"/>
        </w:rPr>
        <w:t> </w:t>
      </w:r>
      <w:r>
        <w:rPr/>
        <w:t>це</w:t>
      </w:r>
      <w:r>
        <w:rPr>
          <w:spacing w:val="-5"/>
        </w:rPr>
        <w:t> </w:t>
      </w:r>
      <w:r>
        <w:rPr/>
        <w:t>сума,</w:t>
      </w:r>
      <w:r>
        <w:rPr>
          <w:spacing w:val="-5"/>
        </w:rPr>
        <w:t> </w:t>
      </w:r>
      <w:r>
        <w:rPr/>
        <w:t>яку,</w:t>
      </w:r>
      <w:r>
        <w:rPr>
          <w:spacing w:val="-5"/>
        </w:rPr>
        <w:t> </w:t>
      </w:r>
      <w:r>
        <w:rPr/>
        <w:t>як</w:t>
      </w:r>
      <w:r>
        <w:rPr>
          <w:spacing w:val="-8"/>
        </w:rPr>
        <w:t> </w:t>
      </w:r>
      <w:r>
        <w:rPr/>
        <w:t>очікується,</w:t>
      </w:r>
      <w:r>
        <w:rPr>
          <w:spacing w:val="-5"/>
        </w:rPr>
        <w:t> </w:t>
      </w:r>
      <w:r>
        <w:rPr/>
        <w:t>необхідно</w:t>
      </w:r>
      <w:r>
        <w:rPr>
          <w:spacing w:val="-7"/>
        </w:rPr>
        <w:t> </w:t>
      </w:r>
      <w:r>
        <w:rPr/>
        <w:t>буде</w:t>
      </w:r>
      <w:r>
        <w:rPr>
          <w:spacing w:val="-6"/>
        </w:rPr>
        <w:t> </w:t>
      </w:r>
      <w:r>
        <w:rPr/>
        <w:t>сплатити</w:t>
      </w:r>
      <w:r>
        <w:rPr>
          <w:spacing w:val="-3"/>
        </w:rPr>
        <w:t> </w:t>
      </w:r>
      <w:r>
        <w:rPr/>
        <w:t>або відшкодувати у податкових органів щодо оподатковуваного прибутку чи збитків поточного та попередніх періодів. Якщо фінансова звітність затверджується до подачі відповідних податкових декларацій, оподатковуваний прибуток або податковий збиток</w:t>
      </w:r>
      <w:r>
        <w:rPr>
          <w:spacing w:val="4"/>
        </w:rPr>
        <w:t> </w:t>
      </w:r>
      <w:r>
        <w:rPr/>
        <w:t>визначаються</w:t>
      </w:r>
    </w:p>
    <w:p>
      <w:pPr>
        <w:spacing w:after="0" w:line="235" w:lineRule="auto"/>
        <w:sectPr>
          <w:pgSz w:w="11910" w:h="16840"/>
          <w:pgMar w:top="1040" w:bottom="280" w:left="1500" w:right="740"/>
        </w:sectPr>
      </w:pPr>
    </w:p>
    <w:p>
      <w:pPr>
        <w:pStyle w:val="BodyText"/>
        <w:spacing w:line="232" w:lineRule="auto" w:before="71"/>
        <w:ind w:right="104"/>
      </w:pPr>
      <w:r>
        <w:rPr/>
        <w:t>розрахунковим шляхом. Інші податки, крім податку на прибуток, відображені у складі адміністративних та інших операційних витрат.</w:t>
      </w:r>
    </w:p>
    <w:p>
      <w:pPr>
        <w:pStyle w:val="BodyText"/>
        <w:spacing w:line="235" w:lineRule="auto" w:before="203"/>
        <w:ind w:right="104"/>
      </w:pPr>
      <w:r>
        <w:rPr>
          <w:b/>
        </w:rPr>
        <w:t>Відстрочений податок </w:t>
      </w:r>
      <w:r>
        <w:rPr/>
        <w:t>на прибуток розраховується за методом балансових зобов'язань відносно перенесених </w:t>
      </w:r>
      <w:r>
        <w:rPr>
          <w:spacing w:val="-3"/>
        </w:rPr>
        <w:t>із </w:t>
      </w:r>
      <w:r>
        <w:rPr/>
        <w:t>минулих періодів податкових збитків та тимчасових різниць, що виникають між податковою базою активів та зобов'язань та їх балансовою вартістю для цілей фінансової звітності. Відповідно до виключення при первісному визнанні, відстрочені податки не визнаються відносно тимчасових різниць при початковому визнанні активу або зобов'язання в разі операції, що не є об'єднанням товариства, коли така операція при її первісному визнанні не впливає ні на фінансовий, ні на податковий прибуток. Суми відстрочених податків розраховуються за ставками оподаткування, які введені в дію або повинні бути введені в дію станом на кінець звітного періоду і які, як очікується, будуть застосовуватися в періодах, коли буде реалізовано тимчасова різниця або використаний перенесений податковий збиток. Відстрочені податкові активи по тимчасових різницях,</w:t>
      </w:r>
      <w:r>
        <w:rPr>
          <w:spacing w:val="-11"/>
        </w:rPr>
        <w:t> </w:t>
      </w:r>
      <w:r>
        <w:rPr/>
        <w:t>що</w:t>
      </w:r>
      <w:r>
        <w:rPr>
          <w:spacing w:val="-12"/>
        </w:rPr>
        <w:t> </w:t>
      </w:r>
      <w:r>
        <w:rPr/>
        <w:t>зменшують</w:t>
      </w:r>
      <w:r>
        <w:rPr>
          <w:spacing w:val="-14"/>
        </w:rPr>
        <w:t> </w:t>
      </w:r>
      <w:r>
        <w:rPr/>
        <w:t>оподатковувану</w:t>
      </w:r>
      <w:r>
        <w:rPr>
          <w:spacing w:val="-16"/>
        </w:rPr>
        <w:t> </w:t>
      </w:r>
      <w:r>
        <w:rPr/>
        <w:t>базу,</w:t>
      </w:r>
      <w:r>
        <w:rPr>
          <w:spacing w:val="-11"/>
        </w:rPr>
        <w:t> </w:t>
      </w:r>
      <w:r>
        <w:rPr/>
        <w:t>та</w:t>
      </w:r>
      <w:r>
        <w:rPr>
          <w:spacing w:val="-11"/>
        </w:rPr>
        <w:t> </w:t>
      </w:r>
      <w:r>
        <w:rPr/>
        <w:t>перенесені</w:t>
      </w:r>
      <w:r>
        <w:rPr>
          <w:spacing w:val="-17"/>
        </w:rPr>
        <w:t> </w:t>
      </w:r>
      <w:r>
        <w:rPr/>
        <w:t>податкові</w:t>
      </w:r>
      <w:r>
        <w:rPr>
          <w:spacing w:val="-16"/>
        </w:rPr>
        <w:t> </w:t>
      </w:r>
      <w:r>
        <w:rPr/>
        <w:t>збитки визнаються лише в тій мірі, в якій існує імовірність отримання оподатковуваного</w:t>
      </w:r>
      <w:r>
        <w:rPr>
          <w:spacing w:val="-9"/>
        </w:rPr>
        <w:t> </w:t>
      </w:r>
      <w:r>
        <w:rPr/>
        <w:t>прибутку,</w:t>
      </w:r>
      <w:r>
        <w:rPr>
          <w:spacing w:val="-6"/>
        </w:rPr>
        <w:t> </w:t>
      </w:r>
      <w:r>
        <w:rPr/>
        <w:t>відносної</w:t>
      </w:r>
      <w:r>
        <w:rPr>
          <w:spacing w:val="-14"/>
        </w:rPr>
        <w:t> </w:t>
      </w:r>
      <w:r>
        <w:rPr>
          <w:spacing w:val="2"/>
        </w:rPr>
        <w:t>якої</w:t>
      </w:r>
      <w:r>
        <w:rPr>
          <w:spacing w:val="-14"/>
        </w:rPr>
        <w:t> </w:t>
      </w:r>
      <w:r>
        <w:rPr/>
        <w:t>можна</w:t>
      </w:r>
      <w:r>
        <w:rPr>
          <w:spacing w:val="-8"/>
        </w:rPr>
        <w:t> </w:t>
      </w:r>
      <w:r>
        <w:rPr/>
        <w:t>буде</w:t>
      </w:r>
      <w:r>
        <w:rPr>
          <w:spacing w:val="-8"/>
        </w:rPr>
        <w:t> </w:t>
      </w:r>
      <w:r>
        <w:rPr/>
        <w:t>реалізувати</w:t>
      </w:r>
      <w:r>
        <w:rPr>
          <w:spacing w:val="-5"/>
        </w:rPr>
        <w:t> </w:t>
      </w:r>
      <w:r>
        <w:rPr/>
        <w:t>тимчасові різниці.</w:t>
      </w:r>
    </w:p>
    <w:p>
      <w:pPr>
        <w:pStyle w:val="BodyText"/>
        <w:spacing w:before="200"/>
        <w:ind w:right="108"/>
      </w:pPr>
      <w:r>
        <w:rPr>
          <w:b/>
        </w:rPr>
        <w:t>Невизначені податкові позиції</w:t>
      </w:r>
      <w:r>
        <w:rPr/>
        <w:t>. Керівництво оцінює невизначені податкові позиції Товариства на кінець кожного звітного періоду. Зобов'язання, що відображаються у відношенні податків, визначаються керівництвом як податкові позиції із невисокою імовірністю того, що їх вдасться відстояти у випадку, якщо такі позиції будуть оскаржені податковими органами, на підставі тлумачення Товариством податкового законодавства, що вступило або практично вступило в силу на кінець звітного періоду, і будь-якого відомого рішення судових або інших органів з подібних питань. Зобов'язання зі штрафів, відсотків і податків, окрім податку на прибуток, визнаються на підставі розрахованих керівництвом витрат, необхідних для врегулювання зобов'язань на кінець звітного періоду.</w:t>
      </w:r>
    </w:p>
    <w:p>
      <w:pPr>
        <w:pStyle w:val="BodyText"/>
        <w:spacing w:before="199"/>
        <w:ind w:right="107"/>
      </w:pPr>
      <w:r>
        <w:rPr>
          <w:b/>
        </w:rPr>
        <w:t>Резерви за зобов'язаннями та платежами</w:t>
      </w:r>
      <w:r>
        <w:rPr/>
        <w:t>. </w:t>
      </w:r>
      <w:r>
        <w:rPr>
          <w:b/>
        </w:rPr>
        <w:t>Резерви за зобов'язаннями та платежами </w:t>
      </w:r>
      <w:r>
        <w:rPr/>
        <w:t>- це не фінансові зобов'язання, сума й термін яких не визначені. Вони нараховуються, коли Товариство має поточне юридичне або конструктивне зобов'язання, що виникло внаслідок минулих подій, та існує ймовірність, що для погашення такого зобов'язання знадобиться відтік ресурсів, які передбачають економічні вигоди, а суму цього зобов'язання можна розрахувати з достатнім ступенем точності. Сума резерву є найкращою оцінкою компенсації, необхідної для врегулювання поточного зобов’язання на звітну дату, беручи до уваги всі ризики і невизначеності, супутні даним зобов’язанням. Згідно облікової політики товариство створює резерв сумнівної заборгованості та резерв на виплату відпусток працівникам товариства.</w:t>
      </w:r>
    </w:p>
    <w:p>
      <w:pPr>
        <w:spacing w:after="0"/>
        <w:sectPr>
          <w:pgSz w:w="11910" w:h="16840"/>
          <w:pgMar w:top="1040" w:bottom="280" w:left="1500" w:right="740"/>
        </w:sectPr>
      </w:pPr>
    </w:p>
    <w:p>
      <w:pPr>
        <w:pStyle w:val="BodyText"/>
        <w:spacing w:before="67"/>
        <w:ind w:right="114"/>
      </w:pPr>
      <w:r>
        <w:rPr/>
        <w:t>Резерв на виплату щорічної відпустки працівникам нараховується станом останню дату розрахункового періоду. Сума резерву на виплату щорічних основних відпусток нараховуються окремо по кожному працівнику товариства. Загальна сума забезпечення на виплату щорічних основних відпусток визначається як сума забезпечень на виплату щорічних основних відпусток по кожному працівнику товариства.</w:t>
      </w:r>
    </w:p>
    <w:p>
      <w:pPr>
        <w:pStyle w:val="BodyText"/>
        <w:spacing w:before="124"/>
        <w:ind w:right="112"/>
      </w:pPr>
      <w:r>
        <w:rPr/>
        <w:t>Якщо у Товаристві існує об'єктивне свідчення того, що дебіторська заборгованість</w:t>
      </w:r>
      <w:r>
        <w:rPr>
          <w:spacing w:val="-13"/>
        </w:rPr>
        <w:t> </w:t>
      </w:r>
      <w:r>
        <w:rPr/>
        <w:t>не</w:t>
      </w:r>
      <w:r>
        <w:rPr>
          <w:spacing w:val="-9"/>
        </w:rPr>
        <w:t> </w:t>
      </w:r>
      <w:r>
        <w:rPr/>
        <w:t>будє</w:t>
      </w:r>
      <w:r>
        <w:rPr>
          <w:spacing w:val="-10"/>
        </w:rPr>
        <w:t> </w:t>
      </w:r>
      <w:r>
        <w:rPr/>
        <w:t>відшкодована,</w:t>
      </w:r>
      <w:r>
        <w:rPr>
          <w:spacing w:val="-8"/>
        </w:rPr>
        <w:t> </w:t>
      </w:r>
      <w:r>
        <w:rPr/>
        <w:t>Товариство</w:t>
      </w:r>
      <w:r>
        <w:rPr>
          <w:spacing w:val="-10"/>
        </w:rPr>
        <w:t> </w:t>
      </w:r>
      <w:r>
        <w:rPr/>
        <w:t>створює</w:t>
      </w:r>
      <w:r>
        <w:rPr>
          <w:spacing w:val="-5"/>
        </w:rPr>
        <w:t> </w:t>
      </w:r>
      <w:r>
        <w:rPr/>
        <w:t>відповідний</w:t>
      </w:r>
      <w:r>
        <w:rPr>
          <w:spacing w:val="-10"/>
        </w:rPr>
        <w:t> </w:t>
      </w:r>
      <w:r>
        <w:rPr/>
        <w:t>резерв та зменшує чисту балансову вартість дебіторської заборгованості до вартості їх відшкодування. Знецінення відображається у звіті про сукупні</w:t>
      </w:r>
      <w:r>
        <w:rPr>
          <w:spacing w:val="-13"/>
        </w:rPr>
        <w:t> </w:t>
      </w:r>
      <w:r>
        <w:rPr/>
        <w:t>доходи.</w:t>
      </w:r>
    </w:p>
    <w:p>
      <w:pPr>
        <w:pStyle w:val="BodyText"/>
        <w:spacing w:before="200"/>
        <w:ind w:right="110"/>
      </w:pPr>
      <w:r>
        <w:rPr/>
        <w:t>Товариство аналізує дебіторську заборгованість на предмет знецінення щоквартально окремо по кожному контрагенту. У залежності від умов договорів кредитування, строків і сум грошових коштів, отриманих в ході погашення</w:t>
      </w:r>
      <w:r>
        <w:rPr>
          <w:spacing w:val="-16"/>
        </w:rPr>
        <w:t> </w:t>
      </w:r>
      <w:r>
        <w:rPr/>
        <w:t>зазначених</w:t>
      </w:r>
      <w:r>
        <w:rPr>
          <w:spacing w:val="-20"/>
        </w:rPr>
        <w:t> </w:t>
      </w:r>
      <w:r>
        <w:rPr/>
        <w:t>сум,</w:t>
      </w:r>
      <w:r>
        <w:rPr>
          <w:spacing w:val="-10"/>
        </w:rPr>
        <w:t> </w:t>
      </w:r>
      <w:r>
        <w:rPr/>
        <w:t>Товариство</w:t>
      </w:r>
      <w:r>
        <w:rPr>
          <w:spacing w:val="-16"/>
        </w:rPr>
        <w:t> </w:t>
      </w:r>
      <w:r>
        <w:rPr/>
        <w:t>створює</w:t>
      </w:r>
      <w:r>
        <w:rPr>
          <w:spacing w:val="-15"/>
        </w:rPr>
        <w:t> </w:t>
      </w:r>
      <w:r>
        <w:rPr/>
        <w:t>резерв</w:t>
      </w:r>
      <w:r>
        <w:rPr>
          <w:spacing w:val="-18"/>
        </w:rPr>
        <w:t> </w:t>
      </w:r>
      <w:r>
        <w:rPr/>
        <w:t>по</w:t>
      </w:r>
      <w:r>
        <w:rPr>
          <w:spacing w:val="-16"/>
        </w:rPr>
        <w:t> </w:t>
      </w:r>
      <w:r>
        <w:rPr/>
        <w:t>кожному</w:t>
      </w:r>
      <w:r>
        <w:rPr>
          <w:spacing w:val="-20"/>
        </w:rPr>
        <w:t> </w:t>
      </w:r>
      <w:r>
        <w:rPr/>
        <w:t>боржнику.</w:t>
      </w:r>
    </w:p>
    <w:p>
      <w:pPr>
        <w:spacing w:line="237" w:lineRule="auto" w:before="127"/>
        <w:ind w:left="199" w:right="108" w:firstLine="0"/>
        <w:jc w:val="both"/>
        <w:rPr>
          <w:sz w:val="28"/>
        </w:rPr>
      </w:pPr>
      <w:r>
        <w:rPr>
          <w:b/>
          <w:sz w:val="28"/>
        </w:rPr>
        <w:t>Кредиторська заборгованість за основною діяльністю та інша кредиторська заборгованість</w:t>
      </w:r>
      <w:r>
        <w:rPr>
          <w:sz w:val="28"/>
        </w:rPr>
        <w:t>. Кредиторська заборгованість за основною діяльністю нараховується, коли контрагент виконав свої зобов'язання за договором, і враховується за амортизованою вартістю.</w:t>
      </w:r>
    </w:p>
    <w:p>
      <w:pPr>
        <w:pStyle w:val="BodyText"/>
        <w:spacing w:before="206"/>
        <w:ind w:right="104"/>
      </w:pPr>
      <w:r>
        <w:rPr>
          <w:b/>
        </w:rPr>
        <w:t>Визнання доходів і витрат</w:t>
      </w:r>
      <w:r>
        <w:rPr/>
        <w:t>. Процентні доходи та витрати враховуються для всіх боргових інструментів за принципом нарахування </w:t>
      </w:r>
      <w:r>
        <w:rPr>
          <w:spacing w:val="-3"/>
        </w:rPr>
        <w:t>із </w:t>
      </w:r>
      <w:r>
        <w:rPr/>
        <w:t>застосуванням методу ефективної ставки відсотка. Цей метод включає до складу процентних доходів</w:t>
      </w:r>
      <w:r>
        <w:rPr>
          <w:spacing w:val="-16"/>
        </w:rPr>
        <w:t> </w:t>
      </w:r>
      <w:r>
        <w:rPr/>
        <w:t>і</w:t>
      </w:r>
      <w:r>
        <w:rPr>
          <w:spacing w:val="-17"/>
        </w:rPr>
        <w:t> </w:t>
      </w:r>
      <w:r>
        <w:rPr/>
        <w:t>витрат</w:t>
      </w:r>
      <w:r>
        <w:rPr>
          <w:spacing w:val="-12"/>
        </w:rPr>
        <w:t> </w:t>
      </w:r>
      <w:r>
        <w:rPr/>
        <w:t>та</w:t>
      </w:r>
      <w:r>
        <w:rPr>
          <w:spacing w:val="-12"/>
        </w:rPr>
        <w:t> </w:t>
      </w:r>
      <w:r>
        <w:rPr/>
        <w:t>розносить</w:t>
      </w:r>
      <w:r>
        <w:rPr>
          <w:spacing w:val="-13"/>
        </w:rPr>
        <w:t> </w:t>
      </w:r>
      <w:r>
        <w:rPr/>
        <w:t>на</w:t>
      </w:r>
      <w:r>
        <w:rPr>
          <w:spacing w:val="-12"/>
        </w:rPr>
        <w:t> </w:t>
      </w:r>
      <w:r>
        <w:rPr/>
        <w:t>весь</w:t>
      </w:r>
      <w:r>
        <w:rPr>
          <w:spacing w:val="-13"/>
        </w:rPr>
        <w:t> </w:t>
      </w:r>
      <w:r>
        <w:rPr/>
        <w:t>період</w:t>
      </w:r>
      <w:r>
        <w:rPr>
          <w:spacing w:val="-10"/>
        </w:rPr>
        <w:t> </w:t>
      </w:r>
      <w:r>
        <w:rPr/>
        <w:t>дії</w:t>
      </w:r>
      <w:r>
        <w:rPr>
          <w:spacing w:val="-13"/>
        </w:rPr>
        <w:t> </w:t>
      </w:r>
      <w:r>
        <w:rPr/>
        <w:t>усі</w:t>
      </w:r>
      <w:r>
        <w:rPr>
          <w:spacing w:val="-17"/>
        </w:rPr>
        <w:t> </w:t>
      </w:r>
      <w:r>
        <w:rPr/>
        <w:t>комісії,</w:t>
      </w:r>
      <w:r>
        <w:rPr>
          <w:spacing w:val="-11"/>
        </w:rPr>
        <w:t> </w:t>
      </w:r>
      <w:r>
        <w:rPr/>
        <w:t>які</w:t>
      </w:r>
      <w:r>
        <w:rPr>
          <w:spacing w:val="-17"/>
        </w:rPr>
        <w:t> </w:t>
      </w:r>
      <w:r>
        <w:rPr/>
        <w:t>сплачуються</w:t>
      </w:r>
      <w:r>
        <w:rPr>
          <w:spacing w:val="-9"/>
        </w:rPr>
        <w:t> </w:t>
      </w:r>
      <w:r>
        <w:rPr/>
        <w:t>або одержуються учасниками контракту, які є невід'ємною частиною ефективної ставки відсотка, витрати на проведення операції, а також усі інші</w:t>
      </w:r>
      <w:r>
        <w:rPr>
          <w:spacing w:val="51"/>
        </w:rPr>
        <w:t> </w:t>
      </w:r>
      <w:r>
        <w:rPr/>
        <w:t>дисконти.</w:t>
      </w:r>
    </w:p>
    <w:p>
      <w:pPr>
        <w:pStyle w:val="BodyText"/>
        <w:spacing w:before="199"/>
        <w:ind w:right="112"/>
      </w:pPr>
      <w:r>
        <w:rPr/>
        <w:t>Комісії, які є невід'ємною частиною ефективної ставки відсотка, включають платежі за надання, одержувані або які виплачуються організацією при створенні або придбанні фінансового активу, або видачі фінансового зобов'язання, наприклад, комісії за оцінку кредитоспроможності, узгодження умов інструменту та за обробку документів по операції.</w:t>
      </w:r>
    </w:p>
    <w:p>
      <w:pPr>
        <w:pStyle w:val="BodyText"/>
        <w:spacing w:before="201"/>
        <w:ind w:right="110"/>
      </w:pPr>
      <w:r>
        <w:rPr/>
        <w:t>Якщо виникає сумнів щодо можливості погашення банківських депозитів або інших</w:t>
      </w:r>
      <w:r>
        <w:rPr>
          <w:spacing w:val="-19"/>
        </w:rPr>
        <w:t> </w:t>
      </w:r>
      <w:r>
        <w:rPr/>
        <w:t>боргових</w:t>
      </w:r>
      <w:r>
        <w:rPr>
          <w:spacing w:val="-18"/>
        </w:rPr>
        <w:t> </w:t>
      </w:r>
      <w:r>
        <w:rPr/>
        <w:t>інструментів,</w:t>
      </w:r>
      <w:r>
        <w:rPr>
          <w:spacing w:val="-12"/>
        </w:rPr>
        <w:t> </w:t>
      </w:r>
      <w:r>
        <w:rPr/>
        <w:t>їх</w:t>
      </w:r>
      <w:r>
        <w:rPr>
          <w:spacing w:val="-19"/>
        </w:rPr>
        <w:t> </w:t>
      </w:r>
      <w:r>
        <w:rPr/>
        <w:t>вартість</w:t>
      </w:r>
      <w:r>
        <w:rPr>
          <w:spacing w:val="-12"/>
        </w:rPr>
        <w:t> </w:t>
      </w:r>
      <w:r>
        <w:rPr/>
        <w:t>зменшується</w:t>
      </w:r>
      <w:r>
        <w:rPr>
          <w:spacing w:val="-13"/>
        </w:rPr>
        <w:t> </w:t>
      </w:r>
      <w:r>
        <w:rPr/>
        <w:t>до</w:t>
      </w:r>
      <w:r>
        <w:rPr>
          <w:spacing w:val="-14"/>
        </w:rPr>
        <w:t> </w:t>
      </w:r>
      <w:r>
        <w:rPr/>
        <w:t>теперішньої</w:t>
      </w:r>
      <w:r>
        <w:rPr>
          <w:spacing w:val="-18"/>
        </w:rPr>
        <w:t> </w:t>
      </w:r>
      <w:r>
        <w:rPr/>
        <w:t>вартості очікуваних грошових потоків, після чого процентний дохід відображається з урахуванням ефективної ставки відсотка за даним інструментом, що використовувалася для розрахунку збитку від</w:t>
      </w:r>
      <w:r>
        <w:rPr>
          <w:spacing w:val="1"/>
        </w:rPr>
        <w:t> </w:t>
      </w:r>
      <w:r>
        <w:rPr/>
        <w:t>знецінення.</w:t>
      </w:r>
    </w:p>
    <w:p>
      <w:pPr>
        <w:pStyle w:val="BodyText"/>
        <w:spacing w:before="200"/>
        <w:ind w:right="112"/>
      </w:pPr>
      <w:r>
        <w:rPr/>
        <w:t>Всі</w:t>
      </w:r>
      <w:r>
        <w:rPr>
          <w:spacing w:val="-17"/>
        </w:rPr>
        <w:t> </w:t>
      </w:r>
      <w:r>
        <w:rPr/>
        <w:t>інші</w:t>
      </w:r>
      <w:r>
        <w:rPr>
          <w:spacing w:val="-17"/>
        </w:rPr>
        <w:t> </w:t>
      </w:r>
      <w:r>
        <w:rPr/>
        <w:t>збори,</w:t>
      </w:r>
      <w:r>
        <w:rPr>
          <w:spacing w:val="-14"/>
        </w:rPr>
        <w:t> </w:t>
      </w:r>
      <w:r>
        <w:rPr/>
        <w:t>комісійні</w:t>
      </w:r>
      <w:r>
        <w:rPr>
          <w:spacing w:val="-17"/>
        </w:rPr>
        <w:t> </w:t>
      </w:r>
      <w:r>
        <w:rPr/>
        <w:t>та</w:t>
      </w:r>
      <w:r>
        <w:rPr>
          <w:spacing w:val="-11"/>
        </w:rPr>
        <w:t> </w:t>
      </w:r>
      <w:r>
        <w:rPr/>
        <w:t>інші</w:t>
      </w:r>
      <w:r>
        <w:rPr>
          <w:spacing w:val="-17"/>
        </w:rPr>
        <w:t> </w:t>
      </w:r>
      <w:r>
        <w:rPr/>
        <w:t>статті</w:t>
      </w:r>
      <w:r>
        <w:rPr>
          <w:spacing w:val="-21"/>
        </w:rPr>
        <w:t> </w:t>
      </w:r>
      <w:r>
        <w:rPr/>
        <w:t>доходів</w:t>
      </w:r>
      <w:r>
        <w:rPr>
          <w:spacing w:val="-15"/>
        </w:rPr>
        <w:t> </w:t>
      </w:r>
      <w:r>
        <w:rPr/>
        <w:t>і</w:t>
      </w:r>
      <w:r>
        <w:rPr>
          <w:spacing w:val="-16"/>
        </w:rPr>
        <w:t> </w:t>
      </w:r>
      <w:r>
        <w:rPr/>
        <w:t>витрат</w:t>
      </w:r>
      <w:r>
        <w:rPr>
          <w:spacing w:val="-19"/>
        </w:rPr>
        <w:t> </w:t>
      </w:r>
      <w:r>
        <w:rPr/>
        <w:t>зазвичай</w:t>
      </w:r>
      <w:r>
        <w:rPr>
          <w:spacing w:val="-11"/>
        </w:rPr>
        <w:t> </w:t>
      </w:r>
      <w:r>
        <w:rPr/>
        <w:t>враховуються за принципом нарахування залежно від ступеня завершеності конкретної операції, яка оцінюється як співвідношення фактично наданого обсягу послуг і загального обсягу послуг, які мають бути</w:t>
      </w:r>
      <w:r>
        <w:rPr>
          <w:spacing w:val="-10"/>
        </w:rPr>
        <w:t> </w:t>
      </w:r>
      <w:r>
        <w:rPr/>
        <w:t>надані.</w:t>
      </w:r>
    </w:p>
    <w:p>
      <w:pPr>
        <w:spacing w:before="201"/>
        <w:ind w:left="199" w:right="109" w:firstLine="0"/>
        <w:jc w:val="both"/>
        <w:rPr>
          <w:sz w:val="28"/>
        </w:rPr>
      </w:pPr>
      <w:r>
        <w:rPr>
          <w:b/>
          <w:sz w:val="28"/>
        </w:rPr>
        <w:t>Операції кредитування</w:t>
      </w:r>
      <w:r>
        <w:rPr>
          <w:sz w:val="28"/>
        </w:rPr>
        <w:t>. </w:t>
      </w:r>
      <w:r>
        <w:rPr>
          <w:b/>
          <w:sz w:val="28"/>
        </w:rPr>
        <w:t>Договори фінансового кредитування </w:t>
      </w:r>
      <w:r>
        <w:rPr>
          <w:sz w:val="28"/>
        </w:rPr>
        <w:t>- це договори,</w:t>
      </w:r>
      <w:r>
        <w:rPr>
          <w:spacing w:val="-18"/>
          <w:sz w:val="28"/>
        </w:rPr>
        <w:t> </w:t>
      </w:r>
      <w:r>
        <w:rPr>
          <w:sz w:val="28"/>
        </w:rPr>
        <w:t>які</w:t>
      </w:r>
      <w:r>
        <w:rPr>
          <w:spacing w:val="-23"/>
          <w:sz w:val="28"/>
        </w:rPr>
        <w:t> </w:t>
      </w:r>
      <w:r>
        <w:rPr>
          <w:sz w:val="28"/>
        </w:rPr>
        <w:t>передбачають</w:t>
      </w:r>
      <w:r>
        <w:rPr>
          <w:spacing w:val="-21"/>
          <w:sz w:val="28"/>
        </w:rPr>
        <w:t> </w:t>
      </w:r>
      <w:r>
        <w:rPr>
          <w:sz w:val="28"/>
        </w:rPr>
        <w:t>передачу</w:t>
      </w:r>
      <w:r>
        <w:rPr>
          <w:spacing w:val="-19"/>
          <w:sz w:val="28"/>
        </w:rPr>
        <w:t> </w:t>
      </w:r>
      <w:r>
        <w:rPr>
          <w:sz w:val="28"/>
        </w:rPr>
        <w:t>істотного</w:t>
      </w:r>
      <w:r>
        <w:rPr>
          <w:spacing w:val="-19"/>
          <w:sz w:val="28"/>
        </w:rPr>
        <w:t> </w:t>
      </w:r>
      <w:r>
        <w:rPr>
          <w:sz w:val="28"/>
        </w:rPr>
        <w:t>фінансового</w:t>
      </w:r>
      <w:r>
        <w:rPr>
          <w:spacing w:val="-19"/>
          <w:sz w:val="28"/>
        </w:rPr>
        <w:t> </w:t>
      </w:r>
      <w:r>
        <w:rPr>
          <w:sz w:val="28"/>
        </w:rPr>
        <w:t>ризику.</w:t>
      </w:r>
      <w:r>
        <w:rPr>
          <w:spacing w:val="34"/>
          <w:sz w:val="28"/>
        </w:rPr>
        <w:t> </w:t>
      </w:r>
      <w:r>
        <w:rPr>
          <w:sz w:val="28"/>
        </w:rPr>
        <w:t>У</w:t>
      </w:r>
      <w:r>
        <w:rPr>
          <w:spacing w:val="-19"/>
          <w:sz w:val="28"/>
        </w:rPr>
        <w:t> </w:t>
      </w:r>
      <w:r>
        <w:rPr>
          <w:sz w:val="28"/>
        </w:rPr>
        <w:t>цілому,</w:t>
      </w:r>
    </w:p>
    <w:p>
      <w:pPr>
        <w:spacing w:after="0"/>
        <w:jc w:val="both"/>
        <w:rPr>
          <w:sz w:val="28"/>
        </w:rPr>
        <w:sectPr>
          <w:pgSz w:w="11910" w:h="16840"/>
          <w:pgMar w:top="1040" w:bottom="280" w:left="1500" w:right="740"/>
        </w:sectPr>
      </w:pPr>
    </w:p>
    <w:p>
      <w:pPr>
        <w:pStyle w:val="BodyText"/>
        <w:spacing w:before="67"/>
        <w:ind w:right="119"/>
      </w:pPr>
      <w:r>
        <w:rPr/>
        <w:t>Товариство визначає істотний фінансовий ризик, який існує, коли на момент підписання</w:t>
      </w:r>
      <w:r>
        <w:rPr>
          <w:spacing w:val="-10"/>
        </w:rPr>
        <w:t> </w:t>
      </w:r>
      <w:r>
        <w:rPr/>
        <w:t>договору</w:t>
      </w:r>
      <w:r>
        <w:rPr>
          <w:spacing w:val="-14"/>
        </w:rPr>
        <w:t> </w:t>
      </w:r>
      <w:r>
        <w:rPr/>
        <w:t>Товариство</w:t>
      </w:r>
      <w:r>
        <w:rPr>
          <w:spacing w:val="-10"/>
        </w:rPr>
        <w:t> </w:t>
      </w:r>
      <w:r>
        <w:rPr/>
        <w:t>не</w:t>
      </w:r>
      <w:r>
        <w:rPr>
          <w:spacing w:val="-10"/>
        </w:rPr>
        <w:t> </w:t>
      </w:r>
      <w:r>
        <w:rPr/>
        <w:t>впевнене</w:t>
      </w:r>
      <w:r>
        <w:rPr>
          <w:spacing w:val="-10"/>
        </w:rPr>
        <w:t> </w:t>
      </w:r>
      <w:r>
        <w:rPr/>
        <w:t>у</w:t>
      </w:r>
      <w:r>
        <w:rPr>
          <w:spacing w:val="-14"/>
        </w:rPr>
        <w:t> </w:t>
      </w:r>
      <w:r>
        <w:rPr/>
        <w:t>своєчасності</w:t>
      </w:r>
      <w:r>
        <w:rPr>
          <w:spacing w:val="-15"/>
        </w:rPr>
        <w:t> </w:t>
      </w:r>
      <w:r>
        <w:rPr/>
        <w:t>його</w:t>
      </w:r>
      <w:r>
        <w:rPr>
          <w:spacing w:val="-10"/>
        </w:rPr>
        <w:t> </w:t>
      </w:r>
      <w:r>
        <w:rPr/>
        <w:t>повернення.</w:t>
      </w:r>
    </w:p>
    <w:p>
      <w:pPr>
        <w:pStyle w:val="BodyText"/>
        <w:spacing w:before="201"/>
        <w:ind w:right="107"/>
      </w:pPr>
      <w:r>
        <w:rPr>
          <w:b/>
        </w:rPr>
        <w:t>Операції факторингу. Договір факторингу - </w:t>
      </w:r>
      <w:r>
        <w:rPr/>
        <w:t>це договір, за яким одна сторона (фактор) передає або зобов'язується передати грошові кошти в розпорядження другої сторони (клієнта) за плату, а клієнт відступає або зобов'язується відступити факторові своє право грошової вимоги до третьої особи (боржника).</w:t>
      </w:r>
    </w:p>
    <w:p>
      <w:pPr>
        <w:pStyle w:val="BodyText"/>
        <w:spacing w:before="201"/>
        <w:ind w:right="118"/>
      </w:pPr>
      <w:r>
        <w:rPr/>
        <w:t>Якщо контракт віднесений до категорії фінансових контрактів, він залишається таким до тих пір, поки не припиняться всі права та зобов'язання по ньому або не закінчиться термін їх дії, навіть якщо фінансовий ризик істотно зменшується протягом цього періоду.</w:t>
      </w:r>
    </w:p>
    <w:p>
      <w:pPr>
        <w:pStyle w:val="BodyText"/>
        <w:spacing w:before="200"/>
        <w:ind w:right="115"/>
      </w:pPr>
      <w:r>
        <w:rPr>
          <w:b/>
        </w:rPr>
        <w:t>Взаємозаліки</w:t>
      </w:r>
      <w:r>
        <w:rPr/>
        <w:t>. Взаємозалік фінансових активів та зобов'язань з подальшим включенням до балансу лише їхньої чистої суми може здійснюватися лише в разі, якщо є юридично встановлене право взаємозаліку визнаних сум, і існує намір провести розрахунок на основі чистої суми або одночасно реалізувати актив та розрахуватися за зобов'язаннями.</w:t>
      </w:r>
    </w:p>
    <w:p>
      <w:pPr>
        <w:pStyle w:val="BodyText"/>
        <w:spacing w:before="119"/>
        <w:ind w:right="102"/>
      </w:pPr>
      <w:r>
        <w:rPr>
          <w:b/>
        </w:rPr>
        <w:t>Витрати на персонал та відповідні відрахування</w:t>
      </w:r>
      <w:r>
        <w:rPr/>
        <w:t>. Зарплата, внески до бюджетів та фондів соціального страхування, щорічні відпускні та лікарняні, преміальні і не грошові пільги нараховуються у тому році, в якому відповідні послуги надаються працівниками Товариства. Товариство не має жодних правових чи таких, що випливають зі сформованої ділової практики, зобов'язань з виплати пенсій або аналогічних виплат, крім платежів згідно з державним планом із встановленими внесками.</w:t>
      </w:r>
    </w:p>
    <w:p>
      <w:pPr>
        <w:pStyle w:val="Heading1"/>
        <w:numPr>
          <w:ilvl w:val="1"/>
          <w:numId w:val="1"/>
        </w:numPr>
        <w:tabs>
          <w:tab w:pos="872" w:val="left" w:leader="none"/>
        </w:tabs>
        <w:spacing w:line="240" w:lineRule="auto" w:before="209" w:after="0"/>
        <w:ind w:left="4300" w:right="441" w:hanging="3775"/>
        <w:jc w:val="left"/>
      </w:pPr>
      <w:bookmarkStart w:name="V. Важливі оцінки і професійні судження " w:id="3"/>
      <w:bookmarkEnd w:id="3"/>
      <w:r>
        <w:rPr>
          <w:b w:val="0"/>
        </w:rPr>
      </w:r>
      <w:bookmarkStart w:name="V. Важливі оцінки і професійні судження " w:id="4"/>
      <w:bookmarkEnd w:id="4"/>
      <w:r>
        <w:rPr/>
        <w:t>В</w:t>
      </w:r>
      <w:r>
        <w:rPr/>
        <w:t>ажливі оцінки і професійні судження при застосуванні</w:t>
      </w:r>
      <w:r>
        <w:rPr>
          <w:spacing w:val="-35"/>
        </w:rPr>
        <w:t> </w:t>
      </w:r>
      <w:r>
        <w:rPr/>
        <w:t>облікової політики</w:t>
      </w:r>
    </w:p>
    <w:p>
      <w:pPr>
        <w:pStyle w:val="BodyText"/>
        <w:spacing w:before="196"/>
        <w:ind w:right="104" w:firstLine="566"/>
      </w:pPr>
      <w:r>
        <w:rPr/>
        <w:t>Підготовка фінансової звітності відповідно до МСФЗ вимагає від керівництва</w:t>
      </w:r>
      <w:r>
        <w:rPr>
          <w:spacing w:val="-18"/>
        </w:rPr>
        <w:t> </w:t>
      </w:r>
      <w:r>
        <w:rPr/>
        <w:t>формування</w:t>
      </w:r>
      <w:r>
        <w:rPr>
          <w:spacing w:val="-17"/>
        </w:rPr>
        <w:t> </w:t>
      </w:r>
      <w:r>
        <w:rPr/>
        <w:t>певних</w:t>
      </w:r>
      <w:r>
        <w:rPr>
          <w:spacing w:val="-23"/>
        </w:rPr>
        <w:t> </w:t>
      </w:r>
      <w:r>
        <w:rPr/>
        <w:t>суджень,</w:t>
      </w:r>
      <w:r>
        <w:rPr>
          <w:spacing w:val="-16"/>
        </w:rPr>
        <w:t> </w:t>
      </w:r>
      <w:r>
        <w:rPr/>
        <w:t>оцінок</w:t>
      </w:r>
      <w:r>
        <w:rPr>
          <w:spacing w:val="-20"/>
        </w:rPr>
        <w:t> </w:t>
      </w:r>
      <w:r>
        <w:rPr/>
        <w:t>та</w:t>
      </w:r>
      <w:r>
        <w:rPr>
          <w:spacing w:val="-17"/>
        </w:rPr>
        <w:t> </w:t>
      </w:r>
      <w:r>
        <w:rPr/>
        <w:t>припущень,</w:t>
      </w:r>
      <w:r>
        <w:rPr>
          <w:spacing w:val="-16"/>
        </w:rPr>
        <w:t> </w:t>
      </w:r>
      <w:r>
        <w:rPr/>
        <w:t>які</w:t>
      </w:r>
      <w:r>
        <w:rPr>
          <w:spacing w:val="-23"/>
        </w:rPr>
        <w:t> </w:t>
      </w:r>
      <w:r>
        <w:rPr/>
        <w:t>впливають на використання принципів облікової політики, а також суми активів та зобов'язань, доходів та витрат, які відображені в звітності. Оцінки та</w:t>
      </w:r>
      <w:r>
        <w:rPr>
          <w:spacing w:val="-48"/>
        </w:rPr>
        <w:t> </w:t>
      </w:r>
      <w:r>
        <w:rPr/>
        <w:t>пов'язані з</w:t>
      </w:r>
      <w:r>
        <w:rPr>
          <w:spacing w:val="-8"/>
        </w:rPr>
        <w:t> </w:t>
      </w:r>
      <w:r>
        <w:rPr/>
        <w:t>ними</w:t>
      </w:r>
      <w:r>
        <w:rPr>
          <w:spacing w:val="-8"/>
        </w:rPr>
        <w:t> </w:t>
      </w:r>
      <w:r>
        <w:rPr/>
        <w:t>допущення</w:t>
      </w:r>
      <w:r>
        <w:rPr>
          <w:spacing w:val="-6"/>
        </w:rPr>
        <w:t> </w:t>
      </w:r>
      <w:r>
        <w:rPr/>
        <w:t>ґрунтуються</w:t>
      </w:r>
      <w:r>
        <w:rPr>
          <w:spacing w:val="-7"/>
        </w:rPr>
        <w:t> </w:t>
      </w:r>
      <w:r>
        <w:rPr/>
        <w:t>на</w:t>
      </w:r>
      <w:r>
        <w:rPr>
          <w:spacing w:val="-3"/>
        </w:rPr>
        <w:t> </w:t>
      </w:r>
      <w:r>
        <w:rPr/>
        <w:t>історичному</w:t>
      </w:r>
      <w:r>
        <w:rPr>
          <w:spacing w:val="-12"/>
        </w:rPr>
        <w:t> </w:t>
      </w:r>
      <w:r>
        <w:rPr/>
        <w:t>досвіді</w:t>
      </w:r>
      <w:r>
        <w:rPr>
          <w:spacing w:val="-13"/>
        </w:rPr>
        <w:t> </w:t>
      </w:r>
      <w:r>
        <w:rPr/>
        <w:t>та</w:t>
      </w:r>
      <w:r>
        <w:rPr>
          <w:spacing w:val="-3"/>
        </w:rPr>
        <w:t> </w:t>
      </w:r>
      <w:r>
        <w:rPr/>
        <w:t>інших</w:t>
      </w:r>
      <w:r>
        <w:rPr>
          <w:spacing w:val="-13"/>
        </w:rPr>
        <w:t> </w:t>
      </w:r>
      <w:r>
        <w:rPr/>
        <w:t>факторах,</w:t>
      </w:r>
      <w:r>
        <w:rPr>
          <w:spacing w:val="-5"/>
        </w:rPr>
        <w:t> </w:t>
      </w:r>
      <w:r>
        <w:rPr/>
        <w:t>які вважаються обґрунтованими за даних обставин, результати яких формують основу для суджень щодо балансової вартості активів та зобов'язань, яка не є очевидною з інших джерел. Незважаючи на те, що ці оцінки ґрунтуються на розумінні керівництва поточних подій, фактичні результати, у </w:t>
      </w:r>
      <w:r>
        <w:rPr>
          <w:spacing w:val="2"/>
        </w:rPr>
        <w:t>кінцевому </w:t>
      </w:r>
      <w:r>
        <w:rPr/>
        <w:t>підсумку, можуть відрізнятися від цих</w:t>
      </w:r>
      <w:r>
        <w:rPr>
          <w:spacing w:val="3"/>
        </w:rPr>
        <w:t> </w:t>
      </w:r>
      <w:r>
        <w:rPr/>
        <w:t>оцінок.</w:t>
      </w:r>
    </w:p>
    <w:p>
      <w:pPr>
        <w:pStyle w:val="Heading1"/>
        <w:numPr>
          <w:ilvl w:val="1"/>
          <w:numId w:val="1"/>
        </w:numPr>
        <w:tabs>
          <w:tab w:pos="2783" w:val="left" w:leader="none"/>
        </w:tabs>
        <w:spacing w:line="240" w:lineRule="auto" w:before="199" w:after="0"/>
        <w:ind w:left="2782" w:right="0" w:hanging="2702"/>
        <w:jc w:val="left"/>
      </w:pPr>
      <w:bookmarkStart w:name="VI.Управління фінансовими ризиками" w:id="5"/>
      <w:bookmarkEnd w:id="5"/>
      <w:r>
        <w:rPr>
          <w:b w:val="0"/>
        </w:rPr>
      </w:r>
      <w:bookmarkStart w:name="VI.Управління фінансовими ризиками" w:id="6"/>
      <w:bookmarkEnd w:id="6"/>
      <w:r>
        <w:rPr/>
        <w:t>У</w:t>
      </w:r>
      <w:r>
        <w:rPr/>
        <w:t>правління фінансовими</w:t>
      </w:r>
      <w:r>
        <w:rPr>
          <w:spacing w:val="-19"/>
        </w:rPr>
        <w:t> </w:t>
      </w:r>
      <w:r>
        <w:rPr/>
        <w:t>ризиками</w:t>
      </w:r>
    </w:p>
    <w:p>
      <w:pPr>
        <w:pStyle w:val="BodyText"/>
        <w:spacing w:before="202"/>
        <w:jc w:val="left"/>
      </w:pPr>
      <w:r>
        <w:rPr/>
        <w:t>Найбільші ризики в діяльності Товариства:</w:t>
      </w:r>
    </w:p>
    <w:p>
      <w:pPr>
        <w:pStyle w:val="Heading2"/>
        <w:numPr>
          <w:ilvl w:val="0"/>
          <w:numId w:val="5"/>
        </w:numPr>
        <w:tabs>
          <w:tab w:pos="411" w:val="left" w:leader="none"/>
        </w:tabs>
        <w:spacing w:line="319" w:lineRule="exact" w:before="5" w:after="0"/>
        <w:ind w:left="410" w:right="0" w:hanging="212"/>
        <w:jc w:val="left"/>
        <w:rPr>
          <w:i/>
        </w:rPr>
      </w:pPr>
      <w:r>
        <w:rPr>
          <w:i/>
        </w:rPr>
        <w:t>Кредитний</w:t>
      </w:r>
      <w:r>
        <w:rPr>
          <w:i/>
          <w:spacing w:val="-1"/>
        </w:rPr>
        <w:t> </w:t>
      </w:r>
      <w:r>
        <w:rPr>
          <w:i/>
        </w:rPr>
        <w:t>ризик</w:t>
      </w:r>
    </w:p>
    <w:p>
      <w:pPr>
        <w:pStyle w:val="BodyText"/>
        <w:tabs>
          <w:tab w:pos="2338" w:val="left" w:leader="none"/>
        </w:tabs>
        <w:ind w:right="183"/>
        <w:jc w:val="left"/>
      </w:pPr>
      <w:r>
        <w:rPr/>
        <w:t>Кредитний ризик виникає у товариства через неспроможність позичальника виконати</w:t>
      </w:r>
      <w:r>
        <w:rPr>
          <w:spacing w:val="29"/>
        </w:rPr>
        <w:t> </w:t>
      </w:r>
      <w:r>
        <w:rPr/>
        <w:t>умови</w:t>
        <w:tab/>
        <w:t>договору фінансового кредиту. Основними критеріями,</w:t>
      </w:r>
      <w:r>
        <w:rPr>
          <w:spacing w:val="-19"/>
        </w:rPr>
        <w:t> </w:t>
      </w:r>
      <w:r>
        <w:rPr/>
        <w:t>які</w:t>
      </w:r>
    </w:p>
    <w:p>
      <w:pPr>
        <w:spacing w:after="0"/>
        <w:jc w:val="left"/>
        <w:sectPr>
          <w:pgSz w:w="11910" w:h="16840"/>
          <w:pgMar w:top="1040" w:bottom="280" w:left="1500" w:right="740"/>
        </w:sectPr>
      </w:pPr>
    </w:p>
    <w:p>
      <w:pPr>
        <w:pStyle w:val="BodyText"/>
        <w:spacing w:before="67"/>
        <w:ind w:right="109"/>
      </w:pPr>
      <w:r>
        <w:rPr/>
        <w:t>враховує товариство при наданні кредитів, є ліквідність, рентабельність і безпека. У своїй діяльності товариство для запобігання ризику вживає відповідних заходів, які становлять зміст ризикової політики, що здійснюється, по-перше, для запобігання ризику; по-друге, для пом’якшення неминучого ризику.</w:t>
      </w:r>
    </w:p>
    <w:p>
      <w:pPr>
        <w:pStyle w:val="Heading2"/>
        <w:numPr>
          <w:ilvl w:val="0"/>
          <w:numId w:val="5"/>
        </w:numPr>
        <w:tabs>
          <w:tab w:pos="484" w:val="left" w:leader="none"/>
        </w:tabs>
        <w:spacing w:line="319" w:lineRule="exact" w:before="9" w:after="0"/>
        <w:ind w:left="483" w:right="0" w:hanging="285"/>
        <w:jc w:val="both"/>
        <w:rPr>
          <w:i/>
        </w:rPr>
      </w:pPr>
      <w:r>
        <w:rPr>
          <w:i/>
        </w:rPr>
        <w:t>Ринковий</w:t>
      </w:r>
      <w:r>
        <w:rPr>
          <w:i/>
          <w:spacing w:val="1"/>
        </w:rPr>
        <w:t> </w:t>
      </w:r>
      <w:r>
        <w:rPr>
          <w:i/>
        </w:rPr>
        <w:t>ризик</w:t>
      </w:r>
    </w:p>
    <w:p>
      <w:pPr>
        <w:pStyle w:val="BodyText"/>
        <w:ind w:right="103"/>
      </w:pPr>
      <w:r>
        <w:rPr/>
        <w:t>Усі фінансові інструменти й позиції піддаються ринковому ризику - ризику того, що майбутні ринкові умови можуть зробити інструмент більш-менш коштовним.</w:t>
      </w:r>
    </w:p>
    <w:p>
      <w:pPr>
        <w:pStyle w:val="Heading2"/>
        <w:numPr>
          <w:ilvl w:val="0"/>
          <w:numId w:val="5"/>
        </w:numPr>
        <w:tabs>
          <w:tab w:pos="483" w:val="left" w:leader="none"/>
        </w:tabs>
        <w:spacing w:line="319" w:lineRule="exact" w:before="1" w:after="0"/>
        <w:ind w:left="482" w:right="0" w:hanging="284"/>
        <w:jc w:val="both"/>
        <w:rPr>
          <w:i/>
        </w:rPr>
      </w:pPr>
      <w:r>
        <w:rPr>
          <w:i/>
        </w:rPr>
        <w:t>Інвестиційний</w:t>
      </w:r>
      <w:r>
        <w:rPr>
          <w:i/>
          <w:spacing w:val="-1"/>
        </w:rPr>
        <w:t> </w:t>
      </w:r>
      <w:r>
        <w:rPr>
          <w:i/>
        </w:rPr>
        <w:t>ризик</w:t>
      </w:r>
    </w:p>
    <w:p>
      <w:pPr>
        <w:pStyle w:val="BodyText"/>
        <w:ind w:right="113"/>
      </w:pPr>
      <w:r>
        <w:rPr/>
        <w:t>Товариство</w:t>
      </w:r>
      <w:r>
        <w:rPr>
          <w:spacing w:val="-21"/>
        </w:rPr>
        <w:t> </w:t>
      </w:r>
      <w:r>
        <w:rPr/>
        <w:t>піддається</w:t>
      </w:r>
      <w:r>
        <w:rPr>
          <w:spacing w:val="-19"/>
        </w:rPr>
        <w:t> </w:t>
      </w:r>
      <w:r>
        <w:rPr/>
        <w:t>потенційним</w:t>
      </w:r>
      <w:r>
        <w:rPr>
          <w:spacing w:val="-20"/>
        </w:rPr>
        <w:t> </w:t>
      </w:r>
      <w:r>
        <w:rPr/>
        <w:t>інвестиційним</w:t>
      </w:r>
      <w:r>
        <w:rPr>
          <w:spacing w:val="-20"/>
        </w:rPr>
        <w:t> </w:t>
      </w:r>
      <w:r>
        <w:rPr/>
        <w:t>ризикам,</w:t>
      </w:r>
      <w:r>
        <w:rPr>
          <w:spacing w:val="-18"/>
        </w:rPr>
        <w:t> </w:t>
      </w:r>
      <w:r>
        <w:rPr/>
        <w:t>несучи</w:t>
      </w:r>
      <w:r>
        <w:rPr>
          <w:spacing w:val="-21"/>
        </w:rPr>
        <w:t> </w:t>
      </w:r>
      <w:r>
        <w:rPr/>
        <w:t>збитки</w:t>
      </w:r>
      <w:r>
        <w:rPr>
          <w:spacing w:val="-21"/>
        </w:rPr>
        <w:t> </w:t>
      </w:r>
      <w:r>
        <w:rPr/>
        <w:t>від фінансових активів, фінансових зобов'язань у результаті змін процентних ставок,</w:t>
      </w:r>
      <w:r>
        <w:rPr>
          <w:spacing w:val="-9"/>
        </w:rPr>
        <w:t> </w:t>
      </w:r>
      <w:r>
        <w:rPr/>
        <w:t>і</w:t>
      </w:r>
      <w:r>
        <w:rPr>
          <w:spacing w:val="-20"/>
        </w:rPr>
        <w:t> </w:t>
      </w:r>
      <w:r>
        <w:rPr/>
        <w:t>ціни</w:t>
      </w:r>
      <w:r>
        <w:rPr>
          <w:spacing w:val="-15"/>
        </w:rPr>
        <w:t> </w:t>
      </w:r>
      <w:r>
        <w:rPr/>
        <w:t>фінансових</w:t>
      </w:r>
      <w:r>
        <w:rPr>
          <w:spacing w:val="-15"/>
        </w:rPr>
        <w:t> </w:t>
      </w:r>
      <w:r>
        <w:rPr/>
        <w:t>інструментів.</w:t>
      </w:r>
      <w:r>
        <w:rPr>
          <w:spacing w:val="-13"/>
        </w:rPr>
        <w:t> </w:t>
      </w:r>
      <w:r>
        <w:rPr/>
        <w:t>Для</w:t>
      </w:r>
      <w:r>
        <w:rPr>
          <w:spacing w:val="-13"/>
        </w:rPr>
        <w:t> </w:t>
      </w:r>
      <w:r>
        <w:rPr/>
        <w:t>того</w:t>
      </w:r>
      <w:r>
        <w:rPr>
          <w:spacing w:val="-15"/>
        </w:rPr>
        <w:t> </w:t>
      </w:r>
      <w:r>
        <w:rPr/>
        <w:t>щоб</w:t>
      </w:r>
      <w:r>
        <w:rPr>
          <w:spacing w:val="-13"/>
        </w:rPr>
        <w:t> </w:t>
      </w:r>
      <w:r>
        <w:rPr/>
        <w:t>обмежити</w:t>
      </w:r>
      <w:r>
        <w:rPr>
          <w:spacing w:val="-15"/>
        </w:rPr>
        <w:t> </w:t>
      </w:r>
      <w:r>
        <w:rPr/>
        <w:t>інвестиційний ризик, товариство розміщує тимчасово вільні кошти в різні фінансові інструменти. При виборі фінансових інструментів ураховуються вимоги діючого законодавства.</w:t>
      </w:r>
    </w:p>
    <w:p>
      <w:pPr>
        <w:pStyle w:val="Heading2"/>
        <w:numPr>
          <w:ilvl w:val="0"/>
          <w:numId w:val="5"/>
        </w:numPr>
        <w:tabs>
          <w:tab w:pos="411" w:val="left" w:leader="none"/>
        </w:tabs>
        <w:spacing w:line="322" w:lineRule="exact" w:before="1" w:after="0"/>
        <w:ind w:left="410" w:right="0" w:hanging="212"/>
        <w:jc w:val="both"/>
        <w:rPr>
          <w:i/>
        </w:rPr>
      </w:pPr>
      <w:r>
        <w:rPr>
          <w:i/>
        </w:rPr>
        <w:t>Операційний</w:t>
      </w:r>
      <w:r>
        <w:rPr>
          <w:i/>
          <w:spacing w:val="-1"/>
        </w:rPr>
        <w:t> </w:t>
      </w:r>
      <w:r>
        <w:rPr>
          <w:i/>
        </w:rPr>
        <w:t>ризик</w:t>
      </w:r>
    </w:p>
    <w:p>
      <w:pPr>
        <w:pStyle w:val="BodyText"/>
        <w:ind w:right="108"/>
      </w:pPr>
      <w:r>
        <w:rPr/>
        <w:t>Завданням товариства є надання своїм клієнтам високоякісного обслуговування. Найбільш істотним ризиком, що ставлять під загрозу наявність сервісу високого класу, вважається відсутність кваліфікованого й компетентного персоналу. Для того, щоб успішно залучати й зберігати кваліфікований персонал середнього й вищого рівня, товариство повинно виплачувати своїм співробітникам конкурентну зарплату.</w:t>
      </w:r>
    </w:p>
    <w:p>
      <w:pPr>
        <w:pStyle w:val="BodyText"/>
        <w:ind w:right="112"/>
      </w:pPr>
      <w:r>
        <w:rPr/>
        <w:t>Важливим інструментом у забезпеченні діяльності товариства є інформаційні системи. Керівництво товариства приділяє значної увагу правильному функціонуванню інформаційних систем, а також їх відповідності сучасним вимогою.</w:t>
      </w:r>
    </w:p>
    <w:p>
      <w:pPr>
        <w:pStyle w:val="Heading2"/>
        <w:numPr>
          <w:ilvl w:val="0"/>
          <w:numId w:val="5"/>
        </w:numPr>
        <w:tabs>
          <w:tab w:pos="411" w:val="left" w:leader="none"/>
        </w:tabs>
        <w:spacing w:line="319" w:lineRule="exact" w:before="2" w:after="0"/>
        <w:ind w:left="410" w:right="0" w:hanging="212"/>
        <w:jc w:val="both"/>
        <w:rPr>
          <w:i/>
        </w:rPr>
      </w:pPr>
      <w:r>
        <w:rPr>
          <w:i/>
        </w:rPr>
        <w:t>Податковий</w:t>
      </w:r>
      <w:r>
        <w:rPr>
          <w:i/>
          <w:spacing w:val="-1"/>
        </w:rPr>
        <w:t> </w:t>
      </w:r>
      <w:r>
        <w:rPr>
          <w:i/>
        </w:rPr>
        <w:t>ризик</w:t>
      </w:r>
    </w:p>
    <w:p>
      <w:pPr>
        <w:pStyle w:val="BodyText"/>
        <w:ind w:right="110"/>
      </w:pPr>
      <w:r>
        <w:rPr/>
        <w:t>У</w:t>
      </w:r>
      <w:r>
        <w:rPr>
          <w:spacing w:val="-14"/>
        </w:rPr>
        <w:t> </w:t>
      </w:r>
      <w:r>
        <w:rPr/>
        <w:t>цей</w:t>
      </w:r>
      <w:r>
        <w:rPr>
          <w:spacing w:val="-13"/>
        </w:rPr>
        <w:t> </w:t>
      </w:r>
      <w:r>
        <w:rPr/>
        <w:t>час</w:t>
      </w:r>
      <w:r>
        <w:rPr>
          <w:spacing w:val="-16"/>
        </w:rPr>
        <w:t> </w:t>
      </w:r>
      <w:r>
        <w:rPr/>
        <w:t>в</w:t>
      </w:r>
      <w:r>
        <w:rPr>
          <w:spacing w:val="-15"/>
        </w:rPr>
        <w:t> </w:t>
      </w:r>
      <w:r>
        <w:rPr/>
        <w:t>Україні</w:t>
      </w:r>
      <w:r>
        <w:rPr>
          <w:spacing w:val="-18"/>
        </w:rPr>
        <w:t> </w:t>
      </w:r>
      <w:r>
        <w:rPr/>
        <w:t>діє</w:t>
      </w:r>
      <w:r>
        <w:rPr>
          <w:spacing w:val="-13"/>
        </w:rPr>
        <w:t> </w:t>
      </w:r>
      <w:r>
        <w:rPr/>
        <w:t>Податковий</w:t>
      </w:r>
      <w:r>
        <w:rPr>
          <w:spacing w:val="-13"/>
        </w:rPr>
        <w:t> </w:t>
      </w:r>
      <w:r>
        <w:rPr/>
        <w:t>кодекс,</w:t>
      </w:r>
      <w:r>
        <w:rPr>
          <w:spacing w:val="-11"/>
        </w:rPr>
        <w:t> </w:t>
      </w:r>
      <w:r>
        <w:rPr/>
        <w:t>що</w:t>
      </w:r>
      <w:r>
        <w:rPr>
          <w:spacing w:val="-18"/>
        </w:rPr>
        <w:t> </w:t>
      </w:r>
      <w:r>
        <w:rPr/>
        <w:t>вміщує</w:t>
      </w:r>
      <w:r>
        <w:rPr>
          <w:spacing w:val="-13"/>
        </w:rPr>
        <w:t> </w:t>
      </w:r>
      <w:r>
        <w:rPr/>
        <w:t>в</w:t>
      </w:r>
      <w:r>
        <w:rPr>
          <w:spacing w:val="-15"/>
        </w:rPr>
        <w:t> </w:t>
      </w:r>
      <w:r>
        <w:rPr/>
        <w:t>собі</w:t>
      </w:r>
      <w:r>
        <w:rPr>
          <w:spacing w:val="-17"/>
        </w:rPr>
        <w:t> </w:t>
      </w:r>
      <w:r>
        <w:rPr/>
        <w:t>всі</w:t>
      </w:r>
      <w:r>
        <w:rPr>
          <w:spacing w:val="-18"/>
        </w:rPr>
        <w:t> </w:t>
      </w:r>
      <w:r>
        <w:rPr/>
        <w:t>види</w:t>
      </w:r>
      <w:r>
        <w:rPr>
          <w:spacing w:val="-13"/>
        </w:rPr>
        <w:t> </w:t>
      </w:r>
      <w:r>
        <w:rPr/>
        <w:t>податків, а також регулює їх нарахування і сплату. Але норми кодексу досі часто змінюються, положення не завжди до кінця відпрацьовані. Також немає достатньої кількості судових прецедентів за рішенням таких проблем. Часто існують різні точки </w:t>
      </w:r>
      <w:r>
        <w:rPr>
          <w:spacing w:val="2"/>
        </w:rPr>
        <w:t>зору </w:t>
      </w:r>
      <w:r>
        <w:rPr/>
        <w:t>щодо тлумачення правових норм різними органами, що породжує загальну невизначеність і створює приводи для конфліктних ситуацій. Перераховані фактори визначають наявність в Україні податкових ризиків значно більших, ніж ті, які існують у країнах з більш розвиненою податковою</w:t>
      </w:r>
      <w:r>
        <w:rPr>
          <w:spacing w:val="-1"/>
        </w:rPr>
        <w:t> </w:t>
      </w:r>
      <w:r>
        <w:rPr/>
        <w:t>системою.</w:t>
      </w:r>
    </w:p>
    <w:p>
      <w:pPr>
        <w:pStyle w:val="BodyText"/>
        <w:spacing w:before="11"/>
        <w:ind w:left="0"/>
        <w:jc w:val="left"/>
        <w:rPr>
          <w:sz w:val="9"/>
        </w:rPr>
      </w:pPr>
    </w:p>
    <w:p>
      <w:pPr>
        <w:pStyle w:val="Heading1"/>
        <w:numPr>
          <w:ilvl w:val="1"/>
          <w:numId w:val="1"/>
        </w:numPr>
        <w:tabs>
          <w:tab w:pos="3676" w:val="left" w:leader="none"/>
        </w:tabs>
        <w:spacing w:line="240" w:lineRule="auto" w:before="87" w:after="0"/>
        <w:ind w:left="3675" w:right="0" w:hanging="3597"/>
        <w:jc w:val="left"/>
      </w:pPr>
      <w:bookmarkStart w:name="VII.Управління капіталом" w:id="7"/>
      <w:bookmarkEnd w:id="7"/>
      <w:r>
        <w:rPr>
          <w:b w:val="0"/>
        </w:rPr>
      </w:r>
      <w:bookmarkStart w:name="VII.Управління капіталом" w:id="8"/>
      <w:bookmarkEnd w:id="8"/>
      <w:r>
        <w:rPr/>
        <w:t>У</w:t>
      </w:r>
      <w:r>
        <w:rPr/>
        <w:t>правління</w:t>
      </w:r>
      <w:r>
        <w:rPr>
          <w:spacing w:val="-2"/>
        </w:rPr>
        <w:t> </w:t>
      </w:r>
      <w:r>
        <w:rPr/>
        <w:t>капіталом</w:t>
      </w:r>
    </w:p>
    <w:p>
      <w:pPr>
        <w:pStyle w:val="BodyText"/>
        <w:spacing w:before="201"/>
      </w:pPr>
      <w:r>
        <w:rPr/>
        <w:t>Управління</w:t>
      </w:r>
      <w:r>
        <w:rPr>
          <w:spacing w:val="-17"/>
        </w:rPr>
        <w:t> </w:t>
      </w:r>
      <w:r>
        <w:rPr/>
        <w:t>капіталом</w:t>
      </w:r>
      <w:r>
        <w:rPr>
          <w:spacing w:val="-16"/>
        </w:rPr>
        <w:t> </w:t>
      </w:r>
      <w:r>
        <w:rPr/>
        <w:t>Товариства</w:t>
      </w:r>
      <w:r>
        <w:rPr>
          <w:spacing w:val="-16"/>
        </w:rPr>
        <w:t> </w:t>
      </w:r>
      <w:r>
        <w:rPr/>
        <w:t>спрямовано</w:t>
      </w:r>
      <w:r>
        <w:rPr>
          <w:spacing w:val="-17"/>
        </w:rPr>
        <w:t> </w:t>
      </w:r>
      <w:r>
        <w:rPr/>
        <w:t>на</w:t>
      </w:r>
      <w:r>
        <w:rPr>
          <w:spacing w:val="-16"/>
        </w:rPr>
        <w:t> </w:t>
      </w:r>
      <w:r>
        <w:rPr/>
        <w:t>досягнення</w:t>
      </w:r>
      <w:r>
        <w:rPr>
          <w:spacing w:val="-20"/>
        </w:rPr>
        <w:t> </w:t>
      </w:r>
      <w:r>
        <w:rPr/>
        <w:t>наступних</w:t>
      </w:r>
      <w:r>
        <w:rPr>
          <w:spacing w:val="-22"/>
        </w:rPr>
        <w:t> </w:t>
      </w:r>
      <w:r>
        <w:rPr/>
        <w:t>цілей:</w:t>
      </w:r>
    </w:p>
    <w:p>
      <w:pPr>
        <w:pStyle w:val="BodyText"/>
        <w:ind w:right="113"/>
      </w:pPr>
      <w:r>
        <w:rPr/>
        <w:t>(i) дотримання вимог до капіталу, встановлених регулятором, і (ii) забезпечення здатності Товариства функціонувати в якості безперервно діючого підприємства. Товариство вважає, що загальна сума капіталу, управління яким здійснюється, дорівнює сумі капіталу, показаного в балансі. За</w:t>
      </w:r>
      <w:r>
        <w:rPr>
          <w:spacing w:val="-22"/>
        </w:rPr>
        <w:t> </w:t>
      </w:r>
      <w:r>
        <w:rPr/>
        <w:t>станом</w:t>
      </w:r>
      <w:r>
        <w:rPr>
          <w:spacing w:val="-22"/>
        </w:rPr>
        <w:t> </w:t>
      </w:r>
      <w:r>
        <w:rPr/>
        <w:t>на</w:t>
      </w:r>
      <w:r>
        <w:rPr>
          <w:spacing w:val="-22"/>
        </w:rPr>
        <w:t> </w:t>
      </w:r>
      <w:r>
        <w:rPr/>
        <w:t>кінець</w:t>
      </w:r>
      <w:r>
        <w:rPr>
          <w:spacing w:val="-24"/>
        </w:rPr>
        <w:t> </w:t>
      </w:r>
      <w:r>
        <w:rPr/>
        <w:t>кожного</w:t>
      </w:r>
      <w:r>
        <w:rPr>
          <w:spacing w:val="-22"/>
        </w:rPr>
        <w:t> </w:t>
      </w:r>
      <w:r>
        <w:rPr/>
        <w:t>звітного</w:t>
      </w:r>
      <w:r>
        <w:rPr>
          <w:spacing w:val="-23"/>
        </w:rPr>
        <w:t> </w:t>
      </w:r>
      <w:r>
        <w:rPr/>
        <w:t>періоду</w:t>
      </w:r>
      <w:r>
        <w:rPr>
          <w:spacing w:val="-23"/>
        </w:rPr>
        <w:t> </w:t>
      </w:r>
      <w:r>
        <w:rPr/>
        <w:t>Товариство</w:t>
      </w:r>
      <w:r>
        <w:rPr>
          <w:spacing w:val="-22"/>
        </w:rPr>
        <w:t> </w:t>
      </w:r>
      <w:r>
        <w:rPr/>
        <w:t>аналізує</w:t>
      </w:r>
      <w:r>
        <w:rPr>
          <w:spacing w:val="-18"/>
        </w:rPr>
        <w:t> </w:t>
      </w:r>
      <w:r>
        <w:rPr/>
        <w:t>наявну</w:t>
      </w:r>
      <w:r>
        <w:rPr>
          <w:spacing w:val="-26"/>
        </w:rPr>
        <w:t> </w:t>
      </w:r>
      <w:r>
        <w:rPr>
          <w:spacing w:val="2"/>
        </w:rPr>
        <w:t>суму</w:t>
      </w:r>
    </w:p>
    <w:p>
      <w:pPr>
        <w:spacing w:after="0"/>
        <w:sectPr>
          <w:pgSz w:w="11910" w:h="16840"/>
          <w:pgMar w:top="1040" w:bottom="280" w:left="1500" w:right="740"/>
        </w:sectPr>
      </w:pPr>
    </w:p>
    <w:p>
      <w:pPr>
        <w:pStyle w:val="BodyText"/>
        <w:spacing w:before="67"/>
        <w:ind w:right="117"/>
      </w:pPr>
      <w:r>
        <w:rPr/>
        <w:t>власного</w:t>
      </w:r>
      <w:r>
        <w:rPr>
          <w:spacing w:val="-14"/>
        </w:rPr>
        <w:t> </w:t>
      </w:r>
      <w:r>
        <w:rPr/>
        <w:t>капіталу.</w:t>
      </w:r>
      <w:r>
        <w:rPr>
          <w:spacing w:val="-7"/>
        </w:rPr>
        <w:t> </w:t>
      </w:r>
      <w:r>
        <w:rPr>
          <w:spacing w:val="-3"/>
        </w:rPr>
        <w:t>На</w:t>
      </w:r>
      <w:r>
        <w:rPr>
          <w:spacing w:val="-9"/>
        </w:rPr>
        <w:t> </w:t>
      </w:r>
      <w:r>
        <w:rPr/>
        <w:t>Товариство</w:t>
      </w:r>
      <w:r>
        <w:rPr>
          <w:spacing w:val="-13"/>
        </w:rPr>
        <w:t> </w:t>
      </w:r>
      <w:r>
        <w:rPr/>
        <w:t>поширюються</w:t>
      </w:r>
      <w:r>
        <w:rPr>
          <w:spacing w:val="-13"/>
        </w:rPr>
        <w:t> </w:t>
      </w:r>
      <w:r>
        <w:rPr/>
        <w:t>зовнішні</w:t>
      </w:r>
      <w:r>
        <w:rPr>
          <w:spacing w:val="-14"/>
        </w:rPr>
        <w:t> </w:t>
      </w:r>
      <w:r>
        <w:rPr/>
        <w:t>вимоги</w:t>
      </w:r>
      <w:r>
        <w:rPr>
          <w:spacing w:val="-13"/>
        </w:rPr>
        <w:t> </w:t>
      </w:r>
      <w:r>
        <w:rPr/>
        <w:t>до</w:t>
      </w:r>
      <w:r>
        <w:rPr>
          <w:spacing w:val="-14"/>
        </w:rPr>
        <w:t> </w:t>
      </w:r>
      <w:r>
        <w:rPr/>
        <w:t>капіталу. Основні зовнішні вимоги до капіталу - це мінімальна сума капіталу. Товариство дотримувалося всіх зовнішніх вимог до капіталу у 2019</w:t>
      </w:r>
      <w:r>
        <w:rPr>
          <w:spacing w:val="-15"/>
        </w:rPr>
        <w:t> </w:t>
      </w:r>
      <w:r>
        <w:rPr/>
        <w:t>році.</w:t>
      </w:r>
    </w:p>
    <w:p>
      <w:pPr>
        <w:pStyle w:val="BodyText"/>
        <w:ind w:left="0"/>
        <w:jc w:val="left"/>
        <w:rPr>
          <w:sz w:val="30"/>
        </w:rPr>
      </w:pPr>
    </w:p>
    <w:p>
      <w:pPr>
        <w:pStyle w:val="BodyText"/>
        <w:spacing w:before="5"/>
        <w:ind w:left="0"/>
        <w:jc w:val="left"/>
        <w:rPr>
          <w:sz w:val="33"/>
        </w:rPr>
      </w:pPr>
    </w:p>
    <w:p>
      <w:pPr>
        <w:pStyle w:val="Heading1"/>
        <w:numPr>
          <w:ilvl w:val="1"/>
          <w:numId w:val="1"/>
        </w:numPr>
        <w:tabs>
          <w:tab w:pos="3373" w:val="left" w:leader="none"/>
        </w:tabs>
        <w:spacing w:line="240" w:lineRule="auto" w:before="0" w:after="0"/>
        <w:ind w:left="3372" w:right="0" w:hanging="3288"/>
        <w:jc w:val="left"/>
      </w:pPr>
      <w:bookmarkStart w:name="VIII.Умовні та інші зобов`язання" w:id="9"/>
      <w:bookmarkEnd w:id="9"/>
      <w:r>
        <w:rPr>
          <w:b w:val="0"/>
        </w:rPr>
      </w:r>
      <w:bookmarkStart w:name="VIII.Умовні та інші зобов`язання" w:id="10"/>
      <w:bookmarkEnd w:id="10"/>
      <w:r>
        <w:rPr/>
        <w:t>У</w:t>
      </w:r>
      <w:r>
        <w:rPr/>
        <w:t>мовні та інші</w:t>
      </w:r>
      <w:r>
        <w:rPr>
          <w:spacing w:val="1"/>
        </w:rPr>
        <w:t> </w:t>
      </w:r>
      <w:r>
        <w:rPr/>
        <w:t>зобов`язання</w:t>
      </w:r>
    </w:p>
    <w:p>
      <w:pPr>
        <w:pStyle w:val="BodyText"/>
        <w:spacing w:before="197"/>
        <w:ind w:right="118"/>
      </w:pPr>
      <w:r>
        <w:rPr/>
        <w:t>Умовні</w:t>
      </w:r>
      <w:r>
        <w:rPr>
          <w:spacing w:val="-14"/>
        </w:rPr>
        <w:t> </w:t>
      </w:r>
      <w:r>
        <w:rPr/>
        <w:t>зобов'язання</w:t>
      </w:r>
      <w:r>
        <w:rPr>
          <w:spacing w:val="-9"/>
        </w:rPr>
        <w:t> </w:t>
      </w:r>
      <w:r>
        <w:rPr/>
        <w:t>не</w:t>
      </w:r>
      <w:r>
        <w:rPr>
          <w:spacing w:val="-8"/>
        </w:rPr>
        <w:t> </w:t>
      </w:r>
      <w:r>
        <w:rPr/>
        <w:t>відображаються</w:t>
      </w:r>
      <w:r>
        <w:rPr>
          <w:spacing w:val="-7"/>
        </w:rPr>
        <w:t> </w:t>
      </w:r>
      <w:r>
        <w:rPr/>
        <w:t>у</w:t>
      </w:r>
      <w:r>
        <w:rPr>
          <w:spacing w:val="-13"/>
        </w:rPr>
        <w:t> </w:t>
      </w:r>
      <w:r>
        <w:rPr/>
        <w:t>фінансовій</w:t>
      </w:r>
      <w:r>
        <w:rPr>
          <w:spacing w:val="-9"/>
        </w:rPr>
        <w:t> </w:t>
      </w:r>
      <w:r>
        <w:rPr/>
        <w:t>звітності</w:t>
      </w:r>
      <w:r>
        <w:rPr>
          <w:spacing w:val="-13"/>
        </w:rPr>
        <w:t> </w:t>
      </w:r>
      <w:r>
        <w:rPr/>
        <w:t>але</w:t>
      </w:r>
      <w:r>
        <w:rPr>
          <w:spacing w:val="-4"/>
        </w:rPr>
        <w:t> </w:t>
      </w:r>
      <w:r>
        <w:rPr/>
        <w:t>інформація про них надається в примітках, за винятком тих, випадків, коли ймовірність відтоку ресурсів, які містять економічні вигоди, є</w:t>
      </w:r>
      <w:r>
        <w:rPr>
          <w:spacing w:val="-6"/>
        </w:rPr>
        <w:t> </w:t>
      </w:r>
      <w:r>
        <w:rPr/>
        <w:t>незначними.</w:t>
      </w:r>
    </w:p>
    <w:p>
      <w:pPr>
        <w:pStyle w:val="BodyText"/>
        <w:spacing w:before="119"/>
        <w:ind w:right="122"/>
      </w:pPr>
      <w:r>
        <w:rPr/>
        <w:t>Умовні активи не відображаються у фінансовій звітності, але інформація про них надається, коли отримання економічних вигід є ймовірним.</w:t>
      </w:r>
    </w:p>
    <w:p>
      <w:pPr>
        <w:pStyle w:val="Heading1"/>
        <w:numPr>
          <w:ilvl w:val="1"/>
          <w:numId w:val="1"/>
        </w:numPr>
        <w:tabs>
          <w:tab w:pos="1343" w:val="left" w:leader="none"/>
        </w:tabs>
        <w:spacing w:line="240" w:lineRule="auto" w:before="201" w:after="0"/>
        <w:ind w:left="1342" w:right="0" w:hanging="1265"/>
        <w:jc w:val="left"/>
      </w:pPr>
      <w:bookmarkStart w:name="IX.Розкриття фінансових інструментів за " w:id="11"/>
      <w:bookmarkEnd w:id="11"/>
      <w:r>
        <w:rPr>
          <w:b w:val="0"/>
        </w:rPr>
      </w:r>
      <w:bookmarkStart w:name="IX.Розкриття фінансових інструментів за " w:id="12"/>
      <w:bookmarkEnd w:id="12"/>
      <w:r>
        <w:rPr/>
        <w:t>Р</w:t>
      </w:r>
      <w:r>
        <w:rPr/>
        <w:t>озкриття фінансових інструментів за категоріями</w:t>
      </w:r>
      <w:r>
        <w:rPr>
          <w:spacing w:val="-12"/>
        </w:rPr>
        <w:t> </w:t>
      </w:r>
      <w:r>
        <w:rPr/>
        <w:t>оцінки</w:t>
      </w:r>
    </w:p>
    <w:p>
      <w:pPr>
        <w:pStyle w:val="BodyText"/>
        <w:spacing w:before="197"/>
        <w:ind w:right="111"/>
      </w:pPr>
      <w:r>
        <w:rPr/>
        <w:t>Для цілей оцінки МСБО 39 «Фінансові інструменти: визнання та оцінка» встановлює такі категорії фінансових активів: (а) кредити та дебіторська заборгованість, (б) фінансові активи для подальшого продажу, (в) фінансові активи, утримувані до погашення та (г) фінансові активи за справедливою вартістю, зміни якої відносяться на фінансовий результат. Категорія</w:t>
      </w:r>
    </w:p>
    <w:p>
      <w:pPr>
        <w:pStyle w:val="BodyText"/>
        <w:spacing w:before="3"/>
        <w:ind w:right="108"/>
      </w:pPr>
      <w:r>
        <w:rPr/>
        <w:t>«фінансові активи за справедливою вартістю, зміни якої відносяться на фінансовий результат» має дві підкатегорії: (i) активи, віднесені до цієї категорії при початковому визнанні, та (ii) фінансові активи, утримувані для торгівлі.</w:t>
      </w:r>
    </w:p>
    <w:p>
      <w:pPr>
        <w:pStyle w:val="BodyText"/>
        <w:spacing w:before="3"/>
        <w:ind w:left="0"/>
        <w:jc w:val="left"/>
        <w:rPr>
          <w:sz w:val="10"/>
        </w:rPr>
      </w:pPr>
    </w:p>
    <w:p>
      <w:pPr>
        <w:pStyle w:val="Heading1"/>
        <w:numPr>
          <w:ilvl w:val="1"/>
          <w:numId w:val="1"/>
        </w:numPr>
        <w:tabs>
          <w:tab w:pos="2769" w:val="left" w:leader="none"/>
        </w:tabs>
        <w:spacing w:line="240" w:lineRule="auto" w:before="87" w:after="0"/>
        <w:ind w:left="2768" w:right="0" w:hanging="2688"/>
        <w:jc w:val="left"/>
      </w:pPr>
      <w:bookmarkStart w:name="X.Операції із пов’язаними сторонами" w:id="13"/>
      <w:bookmarkEnd w:id="13"/>
      <w:r>
        <w:rPr>
          <w:b w:val="0"/>
        </w:rPr>
      </w:r>
      <w:bookmarkStart w:name="X.Операції із пов’язаними сторонами" w:id="14"/>
      <w:bookmarkEnd w:id="14"/>
      <w:r>
        <w:rPr/>
        <w:t>О</w:t>
      </w:r>
      <w:r>
        <w:rPr/>
        <w:t>перації із пов’язаними</w:t>
      </w:r>
      <w:r>
        <w:rPr>
          <w:spacing w:val="1"/>
        </w:rPr>
        <w:t> </w:t>
      </w:r>
      <w:r>
        <w:rPr/>
        <w:t>сторонами</w:t>
      </w:r>
    </w:p>
    <w:p>
      <w:pPr>
        <w:pStyle w:val="BodyText"/>
        <w:spacing w:line="218" w:lineRule="auto" w:before="196"/>
        <w:ind w:right="114"/>
      </w:pPr>
      <w:r>
        <w:rPr/>
        <w:t>У відповідності до вимог МСБО 24 «Розкриття інформації про зв'язані сторони», товариство розкриває інформацію щодо операцій і сальдо заборгованості між товариством та зв'язаними сторонами. До зв'язаних сторін товариство відносить:</w:t>
      </w:r>
    </w:p>
    <w:p>
      <w:pPr>
        <w:pStyle w:val="BodyText"/>
        <w:spacing w:line="220" w:lineRule="auto" w:before="204"/>
        <w:ind w:right="121"/>
      </w:pPr>
      <w:r>
        <w:rPr/>
        <w:t>-юридичних осіб, які контролюють товариство (наприклад, материнське товариство);</w:t>
      </w:r>
    </w:p>
    <w:p>
      <w:pPr>
        <w:pStyle w:val="BodyText"/>
        <w:spacing w:line="218" w:lineRule="auto" w:before="202"/>
        <w:ind w:right="117"/>
      </w:pPr>
      <w:r>
        <w:rPr/>
        <w:t>-юридичних</w:t>
      </w:r>
      <w:r>
        <w:rPr>
          <w:spacing w:val="-6"/>
        </w:rPr>
        <w:t> </w:t>
      </w:r>
      <w:r>
        <w:rPr/>
        <w:t>та</w:t>
      </w:r>
      <w:r>
        <w:rPr>
          <w:spacing w:val="-6"/>
        </w:rPr>
        <w:t> </w:t>
      </w:r>
      <w:r>
        <w:rPr/>
        <w:t>фізичних</w:t>
      </w:r>
      <w:r>
        <w:rPr>
          <w:spacing w:val="-6"/>
        </w:rPr>
        <w:t> </w:t>
      </w:r>
      <w:r>
        <w:rPr/>
        <w:t>осіб,</w:t>
      </w:r>
      <w:r>
        <w:rPr>
          <w:spacing w:val="-4"/>
        </w:rPr>
        <w:t> </w:t>
      </w:r>
      <w:r>
        <w:rPr/>
        <w:t>які</w:t>
      </w:r>
      <w:r>
        <w:rPr>
          <w:spacing w:val="-12"/>
        </w:rPr>
        <w:t> </w:t>
      </w:r>
      <w:r>
        <w:rPr/>
        <w:t>мають</w:t>
      </w:r>
      <w:r>
        <w:rPr>
          <w:spacing w:val="-4"/>
        </w:rPr>
        <w:t> </w:t>
      </w:r>
      <w:r>
        <w:rPr/>
        <w:t>таку</w:t>
      </w:r>
      <w:r>
        <w:rPr>
          <w:spacing w:val="-10"/>
        </w:rPr>
        <w:t> </w:t>
      </w:r>
      <w:r>
        <w:rPr/>
        <w:t>частку</w:t>
      </w:r>
      <w:r>
        <w:rPr>
          <w:spacing w:val="-11"/>
        </w:rPr>
        <w:t> </w:t>
      </w:r>
      <w:r>
        <w:rPr/>
        <w:t>в</w:t>
      </w:r>
      <w:r>
        <w:rPr>
          <w:spacing w:val="-3"/>
        </w:rPr>
        <w:t> </w:t>
      </w:r>
      <w:r>
        <w:rPr/>
        <w:t>товаристві,</w:t>
      </w:r>
      <w:r>
        <w:rPr>
          <w:spacing w:val="-4"/>
        </w:rPr>
        <w:t> </w:t>
      </w:r>
      <w:r>
        <w:rPr/>
        <w:t>яка</w:t>
      </w:r>
      <w:r>
        <w:rPr>
          <w:spacing w:val="-6"/>
        </w:rPr>
        <w:t> </w:t>
      </w:r>
      <w:r>
        <w:rPr/>
        <w:t>надає</w:t>
      </w:r>
      <w:r>
        <w:rPr>
          <w:spacing w:val="-5"/>
        </w:rPr>
        <w:t> </w:t>
      </w:r>
      <w:r>
        <w:rPr>
          <w:spacing w:val="-3"/>
        </w:rPr>
        <w:t>їм </w:t>
      </w:r>
      <w:r>
        <w:rPr/>
        <w:t>змогу суттєво впливати на діяльність товариства (вважається, що часткою в компанії, яка дає змогу суттєво впливати на діяльність товариства, є частка в розмірі, що перевищує 50% статутного капіталу</w:t>
      </w:r>
      <w:r>
        <w:rPr>
          <w:spacing w:val="-3"/>
        </w:rPr>
        <w:t> </w:t>
      </w:r>
      <w:r>
        <w:rPr/>
        <w:t>товариства);</w:t>
      </w:r>
    </w:p>
    <w:p>
      <w:pPr>
        <w:pStyle w:val="BodyText"/>
        <w:spacing w:line="242" w:lineRule="auto" w:before="207"/>
        <w:ind w:right="111"/>
      </w:pPr>
      <w:r>
        <w:rPr/>
        <w:t>-юридичних осіб, які є дочірніми або асоційованими підприємствами для товариства;</w:t>
      </w:r>
    </w:p>
    <w:p>
      <w:pPr>
        <w:pStyle w:val="BodyText"/>
        <w:spacing w:before="194"/>
        <w:ind w:right="110"/>
      </w:pPr>
      <w:r>
        <w:rPr/>
        <w:t>-юридичних осіб, які є спільним підприємством, в якому товариство є контролюючим учасником.</w:t>
      </w:r>
    </w:p>
    <w:p>
      <w:pPr>
        <w:pStyle w:val="Heading1"/>
        <w:numPr>
          <w:ilvl w:val="1"/>
          <w:numId w:val="1"/>
        </w:numPr>
        <w:tabs>
          <w:tab w:pos="3797" w:val="left" w:leader="none"/>
        </w:tabs>
        <w:spacing w:line="319" w:lineRule="exact" w:before="206" w:after="0"/>
        <w:ind w:left="3796" w:right="0" w:hanging="385"/>
        <w:jc w:val="left"/>
      </w:pPr>
      <w:r>
        <w:rPr/>
        <w:t>Події після дати</w:t>
      </w:r>
      <w:r>
        <w:rPr>
          <w:spacing w:val="-4"/>
        </w:rPr>
        <w:t> </w:t>
      </w:r>
      <w:r>
        <w:rPr/>
        <w:t>балансу</w:t>
      </w:r>
    </w:p>
    <w:p>
      <w:pPr>
        <w:pStyle w:val="BodyText"/>
        <w:ind w:right="173"/>
      </w:pPr>
      <w:r>
        <w:rPr>
          <w:spacing w:val="-3"/>
        </w:rPr>
        <w:t>На </w:t>
      </w:r>
      <w:r>
        <w:rPr/>
        <w:t>дату затвердження фінансової звітності інформація щодо подій, які мають суттєвий вплив на фінансові показники невідома.</w:t>
      </w:r>
    </w:p>
    <w:p>
      <w:pPr>
        <w:spacing w:after="0"/>
        <w:sectPr>
          <w:pgSz w:w="11910" w:h="16840"/>
          <w:pgMar w:top="1040" w:bottom="280" w:left="1500" w:right="740"/>
        </w:sectPr>
      </w:pPr>
    </w:p>
    <w:p>
      <w:pPr>
        <w:pStyle w:val="BodyText"/>
        <w:ind w:left="0"/>
        <w:jc w:val="left"/>
        <w:rPr>
          <w:sz w:val="20"/>
        </w:rPr>
      </w:pPr>
    </w:p>
    <w:p>
      <w:pPr>
        <w:pStyle w:val="BodyText"/>
        <w:spacing w:before="8"/>
        <w:ind w:left="0"/>
        <w:jc w:val="left"/>
        <w:rPr>
          <w:sz w:val="15"/>
        </w:rPr>
      </w:pPr>
    </w:p>
    <w:p>
      <w:pPr>
        <w:pStyle w:val="Heading1"/>
        <w:numPr>
          <w:ilvl w:val="1"/>
          <w:numId w:val="1"/>
        </w:numPr>
        <w:tabs>
          <w:tab w:pos="3850" w:val="left" w:leader="none"/>
        </w:tabs>
        <w:spacing w:line="240" w:lineRule="auto" w:before="87" w:after="0"/>
        <w:ind w:left="3849" w:right="0" w:hanging="496"/>
        <w:jc w:val="left"/>
      </w:pPr>
      <w:r>
        <w:rPr/>
        <w:t>Події після дати</w:t>
      </w:r>
      <w:r>
        <w:rPr>
          <w:spacing w:val="-3"/>
        </w:rPr>
        <w:t> </w:t>
      </w:r>
      <w:r>
        <w:rPr/>
        <w:t>балансу</w:t>
      </w:r>
    </w:p>
    <w:p>
      <w:pPr>
        <w:pStyle w:val="BodyText"/>
        <w:spacing w:before="11"/>
        <w:ind w:left="0"/>
        <w:jc w:val="left"/>
        <w:rPr>
          <w:b/>
          <w:sz w:val="27"/>
        </w:rPr>
      </w:pPr>
    </w:p>
    <w:p>
      <w:pPr>
        <w:pStyle w:val="BodyText"/>
        <w:ind w:right="108"/>
      </w:pPr>
      <w:r>
        <w:rPr/>
        <w:t>Операційний сегмент являє собою компонент діяльності Товариства, який залучений до комерційної діяльності, від якої Товариство отримує прибутки або</w:t>
      </w:r>
      <w:r>
        <w:rPr>
          <w:spacing w:val="-6"/>
        </w:rPr>
        <w:t> </w:t>
      </w:r>
      <w:r>
        <w:rPr/>
        <w:t>несе</w:t>
      </w:r>
      <w:r>
        <w:rPr>
          <w:spacing w:val="-6"/>
        </w:rPr>
        <w:t> </w:t>
      </w:r>
      <w:r>
        <w:rPr/>
        <w:t>збитки</w:t>
      </w:r>
      <w:r>
        <w:rPr>
          <w:spacing w:val="-5"/>
        </w:rPr>
        <w:t> </w:t>
      </w:r>
      <w:r>
        <w:rPr/>
        <w:t>(включаючи</w:t>
      </w:r>
      <w:r>
        <w:rPr>
          <w:spacing w:val="-6"/>
        </w:rPr>
        <w:t> </w:t>
      </w:r>
      <w:r>
        <w:rPr/>
        <w:t>прибутку</w:t>
      </w:r>
      <w:r>
        <w:rPr>
          <w:spacing w:val="-6"/>
        </w:rPr>
        <w:t> </w:t>
      </w:r>
      <w:r>
        <w:rPr/>
        <w:t>та</w:t>
      </w:r>
      <w:r>
        <w:rPr>
          <w:spacing w:val="-5"/>
        </w:rPr>
        <w:t> </w:t>
      </w:r>
      <w:r>
        <w:rPr/>
        <w:t>збитки</w:t>
      </w:r>
      <w:r>
        <w:rPr>
          <w:spacing w:val="-6"/>
        </w:rPr>
        <w:t> </w:t>
      </w:r>
      <w:r>
        <w:rPr/>
        <w:t>по</w:t>
      </w:r>
      <w:r>
        <w:rPr>
          <w:spacing w:val="-6"/>
        </w:rPr>
        <w:t> </w:t>
      </w:r>
      <w:r>
        <w:rPr/>
        <w:t>відношенню</w:t>
      </w:r>
      <w:r>
        <w:rPr>
          <w:spacing w:val="-7"/>
        </w:rPr>
        <w:t> </w:t>
      </w:r>
      <w:r>
        <w:rPr/>
        <w:t>до</w:t>
      </w:r>
      <w:r>
        <w:rPr>
          <w:spacing w:val="-6"/>
        </w:rPr>
        <w:t> </w:t>
      </w:r>
      <w:r>
        <w:rPr/>
        <w:t>операцій</w:t>
      </w:r>
      <w:r>
        <w:rPr>
          <w:spacing w:val="-6"/>
        </w:rPr>
        <w:t> </w:t>
      </w:r>
      <w:r>
        <w:rPr/>
        <w:t>з іншими компонентами діяльності), результати діяльності якого регулярно аналізуються особою, відповідальною за прийняття операційних рішень при розподілі ресурсів між сегментами та при оцінці результатів їх діяльності, та по відношенню яких доступна фінансова</w:t>
      </w:r>
      <w:r>
        <w:rPr>
          <w:spacing w:val="2"/>
        </w:rPr>
        <w:t> </w:t>
      </w:r>
      <w:r>
        <w:rPr/>
        <w:t>інформація.</w:t>
      </w:r>
    </w:p>
    <w:p>
      <w:pPr>
        <w:pStyle w:val="BodyText"/>
        <w:spacing w:before="10"/>
        <w:ind w:left="0"/>
        <w:jc w:val="left"/>
        <w:rPr>
          <w:sz w:val="24"/>
        </w:rPr>
      </w:pPr>
    </w:p>
    <w:p>
      <w:pPr>
        <w:pStyle w:val="Heading1"/>
        <w:numPr>
          <w:ilvl w:val="1"/>
          <w:numId w:val="1"/>
        </w:numPr>
        <w:tabs>
          <w:tab w:pos="1549" w:val="left" w:leader="none"/>
        </w:tabs>
        <w:spacing w:line="240" w:lineRule="auto" w:before="0" w:after="0"/>
        <w:ind w:left="1548" w:right="0" w:hanging="744"/>
        <w:jc w:val="left"/>
      </w:pPr>
      <w:r>
        <w:rPr/>
        <w:t>Розкриття інформації, відображеної у фінансової</w:t>
      </w:r>
      <w:r>
        <w:rPr>
          <w:spacing w:val="-7"/>
        </w:rPr>
        <w:t> </w:t>
      </w:r>
      <w:r>
        <w:rPr/>
        <w:t>звітності</w:t>
      </w:r>
    </w:p>
    <w:p>
      <w:pPr>
        <w:pStyle w:val="BodyText"/>
        <w:spacing w:before="2"/>
        <w:ind w:left="0"/>
        <w:jc w:val="left"/>
        <w:rPr>
          <w:b/>
          <w:sz w:val="24"/>
        </w:rPr>
      </w:pPr>
    </w:p>
    <w:p>
      <w:pPr>
        <w:spacing w:before="0"/>
        <w:ind w:left="3633" w:right="0" w:firstLine="0"/>
        <w:jc w:val="both"/>
        <w:rPr>
          <w:b/>
          <w:sz w:val="28"/>
        </w:rPr>
      </w:pPr>
      <w:r>
        <w:rPr>
          <w:b/>
          <w:sz w:val="28"/>
        </w:rPr>
        <w:t>Звіт про фінансовий стан</w:t>
      </w:r>
    </w:p>
    <w:p>
      <w:pPr>
        <w:pStyle w:val="ListParagraph"/>
        <w:numPr>
          <w:ilvl w:val="0"/>
          <w:numId w:val="6"/>
        </w:numPr>
        <w:tabs>
          <w:tab w:pos="906" w:val="left" w:leader="none"/>
        </w:tabs>
        <w:spacing w:line="240" w:lineRule="auto" w:before="67" w:after="0"/>
        <w:ind w:left="199" w:right="101" w:firstLine="0"/>
        <w:jc w:val="both"/>
        <w:rPr>
          <w:sz w:val="28"/>
        </w:rPr>
      </w:pPr>
      <w:r>
        <w:rPr>
          <w:spacing w:val="-3"/>
          <w:sz w:val="28"/>
        </w:rPr>
        <w:t>На </w:t>
      </w:r>
      <w:r>
        <w:rPr>
          <w:sz w:val="28"/>
        </w:rPr>
        <w:t>вимогу МСФЗ 16 «Основні засоби» у примітках до фінансової звітності розкривається така інформація щодо основних засобів. Основних засобів, що тимчасово не використовуються, на балансі не має. Станом на 31.12.2019 балансова вартість становить 5 тис грн., та складається </w:t>
      </w:r>
      <w:r>
        <w:rPr>
          <w:spacing w:val="-3"/>
          <w:sz w:val="28"/>
        </w:rPr>
        <w:t>із </w:t>
      </w:r>
      <w:r>
        <w:rPr>
          <w:sz w:val="28"/>
        </w:rPr>
        <w:t>офісної техніки.</w:t>
      </w:r>
    </w:p>
    <w:p>
      <w:pPr>
        <w:pStyle w:val="ListParagraph"/>
        <w:numPr>
          <w:ilvl w:val="0"/>
          <w:numId w:val="6"/>
        </w:numPr>
        <w:tabs>
          <w:tab w:pos="906" w:val="left" w:leader="none"/>
        </w:tabs>
        <w:spacing w:line="240" w:lineRule="auto" w:before="71" w:after="0"/>
        <w:ind w:left="199" w:right="113" w:firstLine="0"/>
        <w:jc w:val="both"/>
        <w:rPr>
          <w:sz w:val="28"/>
        </w:rPr>
      </w:pPr>
      <w:r>
        <w:rPr>
          <w:sz w:val="28"/>
        </w:rPr>
        <w:t>Довгострокові фінансові інвестиції становлять 4984 грн та</w:t>
      </w:r>
      <w:r>
        <w:rPr>
          <w:spacing w:val="-44"/>
          <w:sz w:val="28"/>
        </w:rPr>
        <w:t> </w:t>
      </w:r>
      <w:r>
        <w:rPr>
          <w:sz w:val="28"/>
        </w:rPr>
        <w:t>складаються </w:t>
      </w:r>
      <w:r>
        <w:rPr>
          <w:spacing w:val="-3"/>
          <w:sz w:val="28"/>
        </w:rPr>
        <w:t>із </w:t>
      </w:r>
      <w:r>
        <w:rPr>
          <w:sz w:val="28"/>
        </w:rPr>
        <w:t>майнових</w:t>
      </w:r>
      <w:r>
        <w:rPr>
          <w:spacing w:val="6"/>
          <w:sz w:val="28"/>
        </w:rPr>
        <w:t> </w:t>
      </w:r>
      <w:r>
        <w:rPr>
          <w:sz w:val="28"/>
        </w:rPr>
        <w:t>прав.</w:t>
      </w:r>
    </w:p>
    <w:p>
      <w:pPr>
        <w:pStyle w:val="ListParagraph"/>
        <w:numPr>
          <w:ilvl w:val="0"/>
          <w:numId w:val="6"/>
        </w:numPr>
        <w:tabs>
          <w:tab w:pos="906" w:val="left" w:leader="none"/>
        </w:tabs>
        <w:spacing w:line="240" w:lineRule="auto" w:before="0" w:after="0"/>
        <w:ind w:left="199" w:right="108" w:firstLine="0"/>
        <w:jc w:val="both"/>
        <w:rPr>
          <w:sz w:val="28"/>
        </w:rPr>
      </w:pPr>
      <w:r>
        <w:rPr>
          <w:sz w:val="28"/>
        </w:rPr>
        <w:t>Зареєстрований</w:t>
      </w:r>
      <w:r>
        <w:rPr>
          <w:spacing w:val="-10"/>
          <w:sz w:val="28"/>
        </w:rPr>
        <w:t> </w:t>
      </w:r>
      <w:r>
        <w:rPr>
          <w:sz w:val="28"/>
        </w:rPr>
        <w:t>капітал</w:t>
      </w:r>
      <w:r>
        <w:rPr>
          <w:spacing w:val="-9"/>
          <w:sz w:val="28"/>
        </w:rPr>
        <w:t> </w:t>
      </w:r>
      <w:r>
        <w:rPr>
          <w:sz w:val="28"/>
        </w:rPr>
        <w:t>Товариства</w:t>
      </w:r>
      <w:r>
        <w:rPr>
          <w:spacing w:val="-10"/>
          <w:sz w:val="28"/>
        </w:rPr>
        <w:t> </w:t>
      </w:r>
      <w:r>
        <w:rPr>
          <w:sz w:val="28"/>
        </w:rPr>
        <w:t>складає</w:t>
      </w:r>
      <w:r>
        <w:rPr>
          <w:spacing w:val="-6"/>
          <w:sz w:val="28"/>
        </w:rPr>
        <w:t> </w:t>
      </w:r>
      <w:r>
        <w:rPr>
          <w:sz w:val="28"/>
        </w:rPr>
        <w:t>9755</w:t>
      </w:r>
      <w:r>
        <w:rPr>
          <w:spacing w:val="-10"/>
          <w:sz w:val="28"/>
        </w:rPr>
        <w:t> </w:t>
      </w:r>
      <w:r>
        <w:rPr>
          <w:sz w:val="28"/>
        </w:rPr>
        <w:t>тис.грн.</w:t>
      </w:r>
      <w:r>
        <w:rPr>
          <w:spacing w:val="-8"/>
          <w:sz w:val="28"/>
        </w:rPr>
        <w:t> </w:t>
      </w:r>
      <w:r>
        <w:rPr>
          <w:sz w:val="28"/>
        </w:rPr>
        <w:t>та</w:t>
      </w:r>
      <w:r>
        <w:rPr>
          <w:spacing w:val="-10"/>
          <w:sz w:val="28"/>
        </w:rPr>
        <w:t> </w:t>
      </w:r>
      <w:r>
        <w:rPr>
          <w:sz w:val="28"/>
        </w:rPr>
        <w:t>складається </w:t>
      </w:r>
      <w:r>
        <w:rPr>
          <w:spacing w:val="-3"/>
          <w:sz w:val="28"/>
        </w:rPr>
        <w:t>із </w:t>
      </w:r>
      <w:r>
        <w:rPr>
          <w:sz w:val="28"/>
        </w:rPr>
        <w:t>внесків учасників. Станом на 31.12.2019 статутний капітал сплачено грошовими коштами в повному обсязі. Протягом звітного періоду </w:t>
      </w:r>
      <w:r>
        <w:rPr>
          <w:spacing w:val="2"/>
          <w:sz w:val="28"/>
        </w:rPr>
        <w:t>всі </w:t>
      </w:r>
      <w:r>
        <w:rPr>
          <w:sz w:val="28"/>
        </w:rPr>
        <w:t>зовнішні вимоги стосовно капіталу Товариством виконано. Протягом 2019 року дивіденди не нараховувались та не виплачувались. Резервний капітал на початок звітного періоду в балансі товариства – 206 тис.грн. та на кінець звітного періоду – 206 тис.</w:t>
      </w:r>
      <w:r>
        <w:rPr>
          <w:spacing w:val="6"/>
          <w:sz w:val="28"/>
        </w:rPr>
        <w:t> </w:t>
      </w:r>
      <w:r>
        <w:rPr>
          <w:sz w:val="28"/>
        </w:rPr>
        <w:t>грн.</w:t>
      </w:r>
    </w:p>
    <w:p>
      <w:pPr>
        <w:pStyle w:val="ListParagraph"/>
        <w:numPr>
          <w:ilvl w:val="0"/>
          <w:numId w:val="6"/>
        </w:numPr>
        <w:tabs>
          <w:tab w:pos="1050" w:val="left" w:leader="none"/>
        </w:tabs>
        <w:spacing w:line="240" w:lineRule="auto" w:before="199" w:after="0"/>
        <w:ind w:left="1049" w:right="0" w:hanging="851"/>
        <w:jc w:val="both"/>
        <w:rPr>
          <w:sz w:val="28"/>
        </w:rPr>
      </w:pPr>
      <w:r>
        <w:rPr>
          <w:sz w:val="28"/>
        </w:rPr>
        <w:t>Доходи майбутніх періодів становлять 11770тис</w:t>
      </w:r>
      <w:r>
        <w:rPr>
          <w:spacing w:val="-6"/>
          <w:sz w:val="28"/>
        </w:rPr>
        <w:t> </w:t>
      </w:r>
      <w:r>
        <w:rPr>
          <w:sz w:val="28"/>
        </w:rPr>
        <w:t>грн..</w:t>
      </w:r>
    </w:p>
    <w:p>
      <w:pPr>
        <w:pStyle w:val="ListParagraph"/>
        <w:numPr>
          <w:ilvl w:val="0"/>
          <w:numId w:val="6"/>
        </w:numPr>
        <w:tabs>
          <w:tab w:pos="1050" w:val="left" w:leader="none"/>
        </w:tabs>
        <w:spacing w:line="240" w:lineRule="auto" w:before="201" w:after="0"/>
        <w:ind w:left="199" w:right="111" w:firstLine="0"/>
        <w:jc w:val="both"/>
        <w:rPr>
          <w:sz w:val="28"/>
        </w:rPr>
      </w:pPr>
      <w:r>
        <w:rPr>
          <w:sz w:val="28"/>
        </w:rPr>
        <w:t>Дохід Товариства становить 28182 тис грн. та складається з отиманих доходів за основною діяльністю товариства.</w:t>
      </w:r>
    </w:p>
    <w:p>
      <w:pPr>
        <w:pStyle w:val="ListParagraph"/>
        <w:numPr>
          <w:ilvl w:val="0"/>
          <w:numId w:val="6"/>
        </w:numPr>
        <w:tabs>
          <w:tab w:pos="1050" w:val="left" w:leader="none"/>
        </w:tabs>
        <w:spacing w:line="240" w:lineRule="auto" w:before="197" w:after="0"/>
        <w:ind w:left="1049" w:right="0" w:hanging="851"/>
        <w:jc w:val="both"/>
        <w:rPr>
          <w:sz w:val="28"/>
        </w:rPr>
      </w:pPr>
      <w:r>
        <w:rPr>
          <w:sz w:val="28"/>
        </w:rPr>
        <w:t>Адміністративні витрати Товариства 2248 тис</w:t>
      </w:r>
      <w:r>
        <w:rPr>
          <w:spacing w:val="8"/>
          <w:sz w:val="28"/>
        </w:rPr>
        <w:t> </w:t>
      </w:r>
      <w:r>
        <w:rPr>
          <w:sz w:val="28"/>
        </w:rPr>
        <w:t>грн..</w:t>
      </w:r>
    </w:p>
    <w:p>
      <w:pPr>
        <w:pStyle w:val="ListParagraph"/>
        <w:numPr>
          <w:ilvl w:val="0"/>
          <w:numId w:val="6"/>
        </w:numPr>
        <w:tabs>
          <w:tab w:pos="1050" w:val="left" w:leader="none"/>
        </w:tabs>
        <w:spacing w:line="240" w:lineRule="auto" w:before="201" w:after="0"/>
        <w:ind w:left="1049" w:right="0" w:hanging="851"/>
        <w:jc w:val="both"/>
        <w:rPr>
          <w:sz w:val="28"/>
        </w:rPr>
      </w:pPr>
      <w:r>
        <w:rPr>
          <w:sz w:val="28"/>
        </w:rPr>
        <w:t>Інші операційні витрати 148 тис грн..</w:t>
      </w:r>
    </w:p>
    <w:p>
      <w:pPr>
        <w:pStyle w:val="BodyText"/>
        <w:spacing w:before="201"/>
        <w:ind w:right="106"/>
      </w:pPr>
      <w:r>
        <w:rPr>
          <w:b/>
        </w:rPr>
        <w:t>Примітки до Звіту про рух грошових коштів </w:t>
      </w:r>
      <w:r>
        <w:rPr/>
        <w:t>складено за прямим методом. Істотних різниць між статтями Звіту про рух грошових коштів, складеного за вимогами українського положення (стандарту), та Міжнародним стандартом бухгалтерського обліку 7 «Звіти про рух грошових коштів» немає.</w:t>
      </w:r>
    </w:p>
    <w:p>
      <w:pPr>
        <w:spacing w:after="0"/>
        <w:sectPr>
          <w:pgSz w:w="11910" w:h="16840"/>
          <w:pgMar w:top="1580" w:bottom="280" w:left="1500" w:right="740"/>
        </w:sectPr>
      </w:pPr>
    </w:p>
    <w:p>
      <w:pPr>
        <w:pStyle w:val="BodyText"/>
        <w:spacing w:before="67"/>
        <w:ind w:right="183"/>
        <w:jc w:val="left"/>
      </w:pPr>
      <w:r>
        <w:rPr>
          <w:b/>
        </w:rPr>
        <w:t>Примітки до Звіту про власний капітал</w:t>
      </w:r>
      <w:r>
        <w:rPr/>
        <w:t>. Звіт про власний капітал, складений відповідно до вимог Положення (стандарту) бухгалтерського обліку «Звіт про власний капітал» також відповідає вимогам МСФЗ.</w:t>
      </w:r>
    </w:p>
    <w:p>
      <w:pPr>
        <w:pStyle w:val="BodyText"/>
        <w:ind w:left="0"/>
        <w:jc w:val="left"/>
        <w:rPr>
          <w:sz w:val="30"/>
        </w:rPr>
      </w:pPr>
    </w:p>
    <w:p>
      <w:pPr>
        <w:spacing w:line="322" w:lineRule="exact" w:before="221"/>
        <w:ind w:left="199" w:right="0" w:firstLine="0"/>
        <w:jc w:val="both"/>
        <w:rPr>
          <w:sz w:val="28"/>
        </w:rPr>
      </w:pPr>
      <w:bookmarkStart w:name="Пов’язані  сторони. До Товариства не зас" w:id="15"/>
      <w:bookmarkEnd w:id="15"/>
      <w:r>
        <w:rPr/>
      </w:r>
      <w:r>
        <w:rPr>
          <w:b/>
          <w:sz w:val="28"/>
        </w:rPr>
        <w:t>Пов’язані сторони. </w:t>
      </w:r>
      <w:r>
        <w:rPr>
          <w:sz w:val="28"/>
        </w:rPr>
        <w:t>До Товариства не застосований жоден з фактів МСБО 24</w:t>
      </w:r>
    </w:p>
    <w:p>
      <w:pPr>
        <w:pStyle w:val="BodyText"/>
        <w:ind w:right="106"/>
      </w:pPr>
      <w:r>
        <w:rPr/>
        <w:t>«Розкриття інформації про пов’язані сторони», пункт 5 МСБО 24 та 28. Товариство не має категорій пов’язаних сторін. На виконання вимог п.17 МСБО 24, Товариство розкриває інформацію щодо компенсацій старшому персоналу керівників, до якого відносяться директор та головний бухгалтер Товариства. Протягом звітного періоду короткострокові винагороди нараховані директору у розмірі –10 тис..грн., головному бухгалтеру – 4 тис. грн..Винагород після закінчення трудової діяльності, інших довгострокових винагород, вихідної допомоги та виплат, заснованих на акціях, протягом звітного періоду Товариство директору та головному бухгалтеру не нараховувало та не виплачувало.</w:t>
      </w:r>
    </w:p>
    <w:p>
      <w:pPr>
        <w:spacing w:before="237"/>
        <w:ind w:left="199" w:right="523" w:firstLine="0"/>
        <w:jc w:val="left"/>
        <w:rPr>
          <w:b/>
          <w:sz w:val="28"/>
        </w:rPr>
      </w:pPr>
      <w:bookmarkStart w:name="Умовні активи й зобов'язання. Товариство" w:id="16"/>
      <w:bookmarkEnd w:id="16"/>
      <w:r>
        <w:rPr/>
      </w:r>
      <w:r>
        <w:rPr>
          <w:b/>
          <w:sz w:val="28"/>
        </w:rPr>
        <w:t>Умовні активи й зобов'язання. </w:t>
      </w:r>
      <w:r>
        <w:rPr>
          <w:sz w:val="28"/>
        </w:rPr>
        <w:t>Товариство не визнає умовних активів та умовних зобов’язань у фінансовій звітності</w:t>
      </w:r>
      <w:r>
        <w:rPr>
          <w:b/>
          <w:sz w:val="28"/>
        </w:rPr>
        <w:t>.</w:t>
      </w:r>
    </w:p>
    <w:p>
      <w:pPr>
        <w:pStyle w:val="BodyText"/>
        <w:ind w:left="0"/>
        <w:jc w:val="left"/>
        <w:rPr>
          <w:b/>
          <w:sz w:val="30"/>
        </w:rPr>
      </w:pPr>
    </w:p>
    <w:p>
      <w:pPr>
        <w:pStyle w:val="BodyText"/>
        <w:spacing w:before="9"/>
        <w:ind w:left="0"/>
        <w:jc w:val="left"/>
        <w:rPr>
          <w:b/>
          <w:sz w:val="31"/>
        </w:rPr>
      </w:pPr>
    </w:p>
    <w:p>
      <w:pPr>
        <w:pStyle w:val="Heading1"/>
        <w:tabs>
          <w:tab w:pos="5544" w:val="left" w:leader="none"/>
        </w:tabs>
        <w:ind w:left="872"/>
      </w:pPr>
      <w:r>
        <w:rPr/>
        <w:t>Директор</w:t>
        <w:tab/>
        <w:t>Роднєва</w:t>
      </w:r>
      <w:r>
        <w:rPr>
          <w:spacing w:val="-9"/>
        </w:rPr>
        <w:t> </w:t>
      </w:r>
      <w:r>
        <w:rPr/>
        <w:t>Н.Ф.</w:t>
      </w:r>
    </w:p>
    <w:p>
      <w:pPr>
        <w:pStyle w:val="BodyText"/>
        <w:spacing w:before="11"/>
        <w:ind w:left="0"/>
        <w:jc w:val="left"/>
        <w:rPr>
          <w:b/>
          <w:sz w:val="27"/>
        </w:rPr>
      </w:pPr>
    </w:p>
    <w:p>
      <w:pPr>
        <w:tabs>
          <w:tab w:pos="5645" w:val="left" w:leader="none"/>
        </w:tabs>
        <w:spacing w:before="0"/>
        <w:ind w:left="910" w:right="0" w:firstLine="0"/>
        <w:jc w:val="left"/>
        <w:rPr>
          <w:b/>
          <w:sz w:val="28"/>
        </w:rPr>
      </w:pPr>
      <w:r>
        <w:rPr>
          <w:b/>
          <w:sz w:val="28"/>
        </w:rPr>
        <w:t>Головний</w:t>
      </w:r>
      <w:r>
        <w:rPr>
          <w:b/>
          <w:spacing w:val="-5"/>
          <w:sz w:val="28"/>
        </w:rPr>
        <w:t> </w:t>
      </w:r>
      <w:r>
        <w:rPr>
          <w:b/>
          <w:sz w:val="28"/>
        </w:rPr>
        <w:t>бухгалтер</w:t>
        <w:tab/>
        <w:t>Якуніна</w:t>
      </w:r>
      <w:r>
        <w:rPr>
          <w:b/>
          <w:spacing w:val="-13"/>
          <w:sz w:val="28"/>
        </w:rPr>
        <w:t> </w:t>
      </w:r>
      <w:r>
        <w:rPr>
          <w:b/>
          <w:sz w:val="28"/>
        </w:rPr>
        <w:t>І.О.</w:t>
      </w:r>
    </w:p>
    <w:sectPr>
      <w:pgSz w:w="11910" w:h="16840"/>
      <w:pgMar w:top="1040" w:bottom="280" w:left="150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99" w:hanging="707"/>
        <w:jc w:val="left"/>
      </w:pPr>
      <w:rPr>
        <w:rFonts w:hint="default" w:ascii="Times New Roman" w:hAnsi="Times New Roman" w:eastAsia="Times New Roman" w:cs="Times New Roman"/>
        <w:w w:val="99"/>
        <w:sz w:val="28"/>
        <w:szCs w:val="28"/>
        <w:lang w:val="uk-UA" w:eastAsia="en-US" w:bidi="ar-SA"/>
      </w:rPr>
    </w:lvl>
    <w:lvl w:ilvl="1">
      <w:start w:val="0"/>
      <w:numFmt w:val="bullet"/>
      <w:lvlText w:val="•"/>
      <w:lvlJc w:val="left"/>
      <w:pPr>
        <w:ind w:left="1146" w:hanging="707"/>
      </w:pPr>
      <w:rPr>
        <w:rFonts w:hint="default"/>
        <w:lang w:val="uk-UA" w:eastAsia="en-US" w:bidi="ar-SA"/>
      </w:rPr>
    </w:lvl>
    <w:lvl w:ilvl="2">
      <w:start w:val="0"/>
      <w:numFmt w:val="bullet"/>
      <w:lvlText w:val="•"/>
      <w:lvlJc w:val="left"/>
      <w:pPr>
        <w:ind w:left="2092" w:hanging="707"/>
      </w:pPr>
      <w:rPr>
        <w:rFonts w:hint="default"/>
        <w:lang w:val="uk-UA" w:eastAsia="en-US" w:bidi="ar-SA"/>
      </w:rPr>
    </w:lvl>
    <w:lvl w:ilvl="3">
      <w:start w:val="0"/>
      <w:numFmt w:val="bullet"/>
      <w:lvlText w:val="•"/>
      <w:lvlJc w:val="left"/>
      <w:pPr>
        <w:ind w:left="3039" w:hanging="707"/>
      </w:pPr>
      <w:rPr>
        <w:rFonts w:hint="default"/>
        <w:lang w:val="uk-UA" w:eastAsia="en-US" w:bidi="ar-SA"/>
      </w:rPr>
    </w:lvl>
    <w:lvl w:ilvl="4">
      <w:start w:val="0"/>
      <w:numFmt w:val="bullet"/>
      <w:lvlText w:val="•"/>
      <w:lvlJc w:val="left"/>
      <w:pPr>
        <w:ind w:left="3985" w:hanging="707"/>
      </w:pPr>
      <w:rPr>
        <w:rFonts w:hint="default"/>
        <w:lang w:val="uk-UA" w:eastAsia="en-US" w:bidi="ar-SA"/>
      </w:rPr>
    </w:lvl>
    <w:lvl w:ilvl="5">
      <w:start w:val="0"/>
      <w:numFmt w:val="bullet"/>
      <w:lvlText w:val="•"/>
      <w:lvlJc w:val="left"/>
      <w:pPr>
        <w:ind w:left="4932" w:hanging="707"/>
      </w:pPr>
      <w:rPr>
        <w:rFonts w:hint="default"/>
        <w:lang w:val="uk-UA" w:eastAsia="en-US" w:bidi="ar-SA"/>
      </w:rPr>
    </w:lvl>
    <w:lvl w:ilvl="6">
      <w:start w:val="0"/>
      <w:numFmt w:val="bullet"/>
      <w:lvlText w:val="•"/>
      <w:lvlJc w:val="left"/>
      <w:pPr>
        <w:ind w:left="5878" w:hanging="707"/>
      </w:pPr>
      <w:rPr>
        <w:rFonts w:hint="default"/>
        <w:lang w:val="uk-UA" w:eastAsia="en-US" w:bidi="ar-SA"/>
      </w:rPr>
    </w:lvl>
    <w:lvl w:ilvl="7">
      <w:start w:val="0"/>
      <w:numFmt w:val="bullet"/>
      <w:lvlText w:val="•"/>
      <w:lvlJc w:val="left"/>
      <w:pPr>
        <w:ind w:left="6824" w:hanging="707"/>
      </w:pPr>
      <w:rPr>
        <w:rFonts w:hint="default"/>
        <w:lang w:val="uk-UA" w:eastAsia="en-US" w:bidi="ar-SA"/>
      </w:rPr>
    </w:lvl>
    <w:lvl w:ilvl="8">
      <w:start w:val="0"/>
      <w:numFmt w:val="bullet"/>
      <w:lvlText w:val="•"/>
      <w:lvlJc w:val="left"/>
      <w:pPr>
        <w:ind w:left="7771" w:hanging="707"/>
      </w:pPr>
      <w:rPr>
        <w:rFonts w:hint="default"/>
        <w:lang w:val="uk-UA" w:eastAsia="en-US" w:bidi="ar-SA"/>
      </w:rPr>
    </w:lvl>
  </w:abstractNum>
  <w:abstractNum w:abstractNumId="4">
    <w:multiLevelType w:val="hybridMultilevel"/>
    <w:lvl w:ilvl="0">
      <w:start w:val="1"/>
      <w:numFmt w:val="decimal"/>
      <w:lvlText w:val="%1."/>
      <w:lvlJc w:val="left"/>
      <w:pPr>
        <w:ind w:left="410" w:hanging="212"/>
        <w:jc w:val="left"/>
      </w:pPr>
      <w:rPr>
        <w:rFonts w:hint="default" w:ascii="Times New Roman" w:hAnsi="Times New Roman" w:eastAsia="Times New Roman" w:cs="Times New Roman"/>
        <w:b/>
        <w:bCs/>
        <w:i/>
        <w:w w:val="99"/>
        <w:sz w:val="26"/>
        <w:szCs w:val="26"/>
        <w:lang w:val="uk-UA" w:eastAsia="en-US" w:bidi="ar-SA"/>
      </w:rPr>
    </w:lvl>
    <w:lvl w:ilvl="1">
      <w:start w:val="0"/>
      <w:numFmt w:val="bullet"/>
      <w:lvlText w:val="•"/>
      <w:lvlJc w:val="left"/>
      <w:pPr>
        <w:ind w:left="1344" w:hanging="212"/>
      </w:pPr>
      <w:rPr>
        <w:rFonts w:hint="default"/>
        <w:lang w:val="uk-UA" w:eastAsia="en-US" w:bidi="ar-SA"/>
      </w:rPr>
    </w:lvl>
    <w:lvl w:ilvl="2">
      <w:start w:val="0"/>
      <w:numFmt w:val="bullet"/>
      <w:lvlText w:val="•"/>
      <w:lvlJc w:val="left"/>
      <w:pPr>
        <w:ind w:left="2268" w:hanging="212"/>
      </w:pPr>
      <w:rPr>
        <w:rFonts w:hint="default"/>
        <w:lang w:val="uk-UA" w:eastAsia="en-US" w:bidi="ar-SA"/>
      </w:rPr>
    </w:lvl>
    <w:lvl w:ilvl="3">
      <w:start w:val="0"/>
      <w:numFmt w:val="bullet"/>
      <w:lvlText w:val="•"/>
      <w:lvlJc w:val="left"/>
      <w:pPr>
        <w:ind w:left="3193" w:hanging="212"/>
      </w:pPr>
      <w:rPr>
        <w:rFonts w:hint="default"/>
        <w:lang w:val="uk-UA" w:eastAsia="en-US" w:bidi="ar-SA"/>
      </w:rPr>
    </w:lvl>
    <w:lvl w:ilvl="4">
      <w:start w:val="0"/>
      <w:numFmt w:val="bullet"/>
      <w:lvlText w:val="•"/>
      <w:lvlJc w:val="left"/>
      <w:pPr>
        <w:ind w:left="4117" w:hanging="212"/>
      </w:pPr>
      <w:rPr>
        <w:rFonts w:hint="default"/>
        <w:lang w:val="uk-UA" w:eastAsia="en-US" w:bidi="ar-SA"/>
      </w:rPr>
    </w:lvl>
    <w:lvl w:ilvl="5">
      <w:start w:val="0"/>
      <w:numFmt w:val="bullet"/>
      <w:lvlText w:val="•"/>
      <w:lvlJc w:val="left"/>
      <w:pPr>
        <w:ind w:left="5042" w:hanging="212"/>
      </w:pPr>
      <w:rPr>
        <w:rFonts w:hint="default"/>
        <w:lang w:val="uk-UA" w:eastAsia="en-US" w:bidi="ar-SA"/>
      </w:rPr>
    </w:lvl>
    <w:lvl w:ilvl="6">
      <w:start w:val="0"/>
      <w:numFmt w:val="bullet"/>
      <w:lvlText w:val="•"/>
      <w:lvlJc w:val="left"/>
      <w:pPr>
        <w:ind w:left="5966" w:hanging="212"/>
      </w:pPr>
      <w:rPr>
        <w:rFonts w:hint="default"/>
        <w:lang w:val="uk-UA" w:eastAsia="en-US" w:bidi="ar-SA"/>
      </w:rPr>
    </w:lvl>
    <w:lvl w:ilvl="7">
      <w:start w:val="0"/>
      <w:numFmt w:val="bullet"/>
      <w:lvlText w:val="•"/>
      <w:lvlJc w:val="left"/>
      <w:pPr>
        <w:ind w:left="6890" w:hanging="212"/>
      </w:pPr>
      <w:rPr>
        <w:rFonts w:hint="default"/>
        <w:lang w:val="uk-UA" w:eastAsia="en-US" w:bidi="ar-SA"/>
      </w:rPr>
    </w:lvl>
    <w:lvl w:ilvl="8">
      <w:start w:val="0"/>
      <w:numFmt w:val="bullet"/>
      <w:lvlText w:val="•"/>
      <w:lvlJc w:val="left"/>
      <w:pPr>
        <w:ind w:left="7815" w:hanging="212"/>
      </w:pPr>
      <w:rPr>
        <w:rFonts w:hint="default"/>
        <w:lang w:val="uk-UA" w:eastAsia="en-US" w:bidi="ar-SA"/>
      </w:rPr>
    </w:lvl>
  </w:abstractNum>
  <w:abstractNum w:abstractNumId="3">
    <w:multiLevelType w:val="hybridMultilevel"/>
    <w:lvl w:ilvl="0">
      <w:start w:val="0"/>
      <w:numFmt w:val="bullet"/>
      <w:lvlText w:val=""/>
      <w:lvlJc w:val="left"/>
      <w:pPr>
        <w:ind w:left="747" w:hanging="548"/>
      </w:pPr>
      <w:rPr>
        <w:rFonts w:hint="default" w:ascii="Symbol" w:hAnsi="Symbol" w:eastAsia="Symbol" w:cs="Symbol"/>
        <w:w w:val="99"/>
        <w:sz w:val="28"/>
        <w:szCs w:val="28"/>
        <w:lang w:val="uk-UA" w:eastAsia="en-US" w:bidi="ar-SA"/>
      </w:rPr>
    </w:lvl>
    <w:lvl w:ilvl="1">
      <w:start w:val="0"/>
      <w:numFmt w:val="bullet"/>
      <w:lvlText w:val="•"/>
      <w:lvlJc w:val="left"/>
      <w:pPr>
        <w:ind w:left="1632" w:hanging="548"/>
      </w:pPr>
      <w:rPr>
        <w:rFonts w:hint="default"/>
        <w:lang w:val="uk-UA" w:eastAsia="en-US" w:bidi="ar-SA"/>
      </w:rPr>
    </w:lvl>
    <w:lvl w:ilvl="2">
      <w:start w:val="0"/>
      <w:numFmt w:val="bullet"/>
      <w:lvlText w:val="•"/>
      <w:lvlJc w:val="left"/>
      <w:pPr>
        <w:ind w:left="2524" w:hanging="548"/>
      </w:pPr>
      <w:rPr>
        <w:rFonts w:hint="default"/>
        <w:lang w:val="uk-UA" w:eastAsia="en-US" w:bidi="ar-SA"/>
      </w:rPr>
    </w:lvl>
    <w:lvl w:ilvl="3">
      <w:start w:val="0"/>
      <w:numFmt w:val="bullet"/>
      <w:lvlText w:val="•"/>
      <w:lvlJc w:val="left"/>
      <w:pPr>
        <w:ind w:left="3417" w:hanging="548"/>
      </w:pPr>
      <w:rPr>
        <w:rFonts w:hint="default"/>
        <w:lang w:val="uk-UA" w:eastAsia="en-US" w:bidi="ar-SA"/>
      </w:rPr>
    </w:lvl>
    <w:lvl w:ilvl="4">
      <w:start w:val="0"/>
      <w:numFmt w:val="bullet"/>
      <w:lvlText w:val="•"/>
      <w:lvlJc w:val="left"/>
      <w:pPr>
        <w:ind w:left="4309" w:hanging="548"/>
      </w:pPr>
      <w:rPr>
        <w:rFonts w:hint="default"/>
        <w:lang w:val="uk-UA" w:eastAsia="en-US" w:bidi="ar-SA"/>
      </w:rPr>
    </w:lvl>
    <w:lvl w:ilvl="5">
      <w:start w:val="0"/>
      <w:numFmt w:val="bullet"/>
      <w:lvlText w:val="•"/>
      <w:lvlJc w:val="left"/>
      <w:pPr>
        <w:ind w:left="5202" w:hanging="548"/>
      </w:pPr>
      <w:rPr>
        <w:rFonts w:hint="default"/>
        <w:lang w:val="uk-UA" w:eastAsia="en-US" w:bidi="ar-SA"/>
      </w:rPr>
    </w:lvl>
    <w:lvl w:ilvl="6">
      <w:start w:val="0"/>
      <w:numFmt w:val="bullet"/>
      <w:lvlText w:val="•"/>
      <w:lvlJc w:val="left"/>
      <w:pPr>
        <w:ind w:left="6094" w:hanging="548"/>
      </w:pPr>
      <w:rPr>
        <w:rFonts w:hint="default"/>
        <w:lang w:val="uk-UA" w:eastAsia="en-US" w:bidi="ar-SA"/>
      </w:rPr>
    </w:lvl>
    <w:lvl w:ilvl="7">
      <w:start w:val="0"/>
      <w:numFmt w:val="bullet"/>
      <w:lvlText w:val="•"/>
      <w:lvlJc w:val="left"/>
      <w:pPr>
        <w:ind w:left="6986" w:hanging="548"/>
      </w:pPr>
      <w:rPr>
        <w:rFonts w:hint="default"/>
        <w:lang w:val="uk-UA" w:eastAsia="en-US" w:bidi="ar-SA"/>
      </w:rPr>
    </w:lvl>
    <w:lvl w:ilvl="8">
      <w:start w:val="0"/>
      <w:numFmt w:val="bullet"/>
      <w:lvlText w:val="•"/>
      <w:lvlJc w:val="left"/>
      <w:pPr>
        <w:ind w:left="7879" w:hanging="548"/>
      </w:pPr>
      <w:rPr>
        <w:rFonts w:hint="default"/>
        <w:lang w:val="uk-UA" w:eastAsia="en-US" w:bidi="ar-SA"/>
      </w:rPr>
    </w:lvl>
  </w:abstractNum>
  <w:abstractNum w:abstractNumId="2">
    <w:multiLevelType w:val="hybridMultilevel"/>
    <w:lvl w:ilvl="0">
      <w:start w:val="0"/>
      <w:numFmt w:val="bullet"/>
      <w:lvlText w:val="-"/>
      <w:lvlJc w:val="left"/>
      <w:pPr>
        <w:ind w:left="199" w:hanging="164"/>
      </w:pPr>
      <w:rPr>
        <w:rFonts w:hint="default" w:ascii="Times New Roman" w:hAnsi="Times New Roman" w:eastAsia="Times New Roman" w:cs="Times New Roman"/>
        <w:w w:val="99"/>
        <w:sz w:val="28"/>
        <w:szCs w:val="28"/>
        <w:lang w:val="uk-UA" w:eastAsia="en-US" w:bidi="ar-SA"/>
      </w:rPr>
    </w:lvl>
    <w:lvl w:ilvl="1">
      <w:start w:val="0"/>
      <w:numFmt w:val="bullet"/>
      <w:lvlText w:val=""/>
      <w:lvlJc w:val="left"/>
      <w:pPr>
        <w:ind w:left="343" w:hanging="423"/>
      </w:pPr>
      <w:rPr>
        <w:rFonts w:hint="default" w:ascii="Symbol" w:hAnsi="Symbol" w:eastAsia="Symbol" w:cs="Symbol"/>
        <w:w w:val="99"/>
        <w:sz w:val="28"/>
        <w:szCs w:val="28"/>
        <w:lang w:val="uk-UA" w:eastAsia="en-US" w:bidi="ar-SA"/>
      </w:rPr>
    </w:lvl>
    <w:lvl w:ilvl="2">
      <w:start w:val="0"/>
      <w:numFmt w:val="bullet"/>
      <w:lvlText w:val="•"/>
      <w:lvlJc w:val="left"/>
      <w:pPr>
        <w:ind w:left="1376" w:hanging="423"/>
      </w:pPr>
      <w:rPr>
        <w:rFonts w:hint="default"/>
        <w:lang w:val="uk-UA" w:eastAsia="en-US" w:bidi="ar-SA"/>
      </w:rPr>
    </w:lvl>
    <w:lvl w:ilvl="3">
      <w:start w:val="0"/>
      <w:numFmt w:val="bullet"/>
      <w:lvlText w:val="•"/>
      <w:lvlJc w:val="left"/>
      <w:pPr>
        <w:ind w:left="2412" w:hanging="423"/>
      </w:pPr>
      <w:rPr>
        <w:rFonts w:hint="default"/>
        <w:lang w:val="uk-UA" w:eastAsia="en-US" w:bidi="ar-SA"/>
      </w:rPr>
    </w:lvl>
    <w:lvl w:ilvl="4">
      <w:start w:val="0"/>
      <w:numFmt w:val="bullet"/>
      <w:lvlText w:val="•"/>
      <w:lvlJc w:val="left"/>
      <w:pPr>
        <w:ind w:left="3448" w:hanging="423"/>
      </w:pPr>
      <w:rPr>
        <w:rFonts w:hint="default"/>
        <w:lang w:val="uk-UA" w:eastAsia="en-US" w:bidi="ar-SA"/>
      </w:rPr>
    </w:lvl>
    <w:lvl w:ilvl="5">
      <w:start w:val="0"/>
      <w:numFmt w:val="bullet"/>
      <w:lvlText w:val="•"/>
      <w:lvlJc w:val="left"/>
      <w:pPr>
        <w:ind w:left="4484" w:hanging="423"/>
      </w:pPr>
      <w:rPr>
        <w:rFonts w:hint="default"/>
        <w:lang w:val="uk-UA" w:eastAsia="en-US" w:bidi="ar-SA"/>
      </w:rPr>
    </w:lvl>
    <w:lvl w:ilvl="6">
      <w:start w:val="0"/>
      <w:numFmt w:val="bullet"/>
      <w:lvlText w:val="•"/>
      <w:lvlJc w:val="left"/>
      <w:pPr>
        <w:ind w:left="5520" w:hanging="423"/>
      </w:pPr>
      <w:rPr>
        <w:rFonts w:hint="default"/>
        <w:lang w:val="uk-UA" w:eastAsia="en-US" w:bidi="ar-SA"/>
      </w:rPr>
    </w:lvl>
    <w:lvl w:ilvl="7">
      <w:start w:val="0"/>
      <w:numFmt w:val="bullet"/>
      <w:lvlText w:val="•"/>
      <w:lvlJc w:val="left"/>
      <w:pPr>
        <w:ind w:left="6556" w:hanging="423"/>
      </w:pPr>
      <w:rPr>
        <w:rFonts w:hint="default"/>
        <w:lang w:val="uk-UA" w:eastAsia="en-US" w:bidi="ar-SA"/>
      </w:rPr>
    </w:lvl>
    <w:lvl w:ilvl="8">
      <w:start w:val="0"/>
      <w:numFmt w:val="bullet"/>
      <w:lvlText w:val="•"/>
      <w:lvlJc w:val="left"/>
      <w:pPr>
        <w:ind w:left="7592" w:hanging="423"/>
      </w:pPr>
      <w:rPr>
        <w:rFonts w:hint="default"/>
        <w:lang w:val="uk-UA" w:eastAsia="en-US" w:bidi="ar-SA"/>
      </w:rPr>
    </w:lvl>
  </w:abstractNum>
  <w:abstractNum w:abstractNumId="1">
    <w:multiLevelType w:val="hybridMultilevel"/>
    <w:lvl w:ilvl="0">
      <w:start w:val="0"/>
      <w:numFmt w:val="bullet"/>
      <w:lvlText w:val=""/>
      <w:lvlJc w:val="left"/>
      <w:pPr>
        <w:ind w:left="199" w:hanging="140"/>
      </w:pPr>
      <w:rPr>
        <w:rFonts w:hint="default" w:ascii="Symbol" w:hAnsi="Symbol" w:eastAsia="Symbol" w:cs="Symbol"/>
        <w:spacing w:val="11"/>
        <w:w w:val="99"/>
        <w:sz w:val="26"/>
        <w:szCs w:val="26"/>
        <w:lang w:val="uk-UA" w:eastAsia="en-US" w:bidi="ar-SA"/>
      </w:rPr>
    </w:lvl>
    <w:lvl w:ilvl="1">
      <w:start w:val="0"/>
      <w:numFmt w:val="bullet"/>
      <w:lvlText w:val="•"/>
      <w:lvlJc w:val="left"/>
      <w:pPr>
        <w:ind w:left="1146" w:hanging="140"/>
      </w:pPr>
      <w:rPr>
        <w:rFonts w:hint="default"/>
        <w:lang w:val="uk-UA" w:eastAsia="en-US" w:bidi="ar-SA"/>
      </w:rPr>
    </w:lvl>
    <w:lvl w:ilvl="2">
      <w:start w:val="0"/>
      <w:numFmt w:val="bullet"/>
      <w:lvlText w:val="•"/>
      <w:lvlJc w:val="left"/>
      <w:pPr>
        <w:ind w:left="2092" w:hanging="140"/>
      </w:pPr>
      <w:rPr>
        <w:rFonts w:hint="default"/>
        <w:lang w:val="uk-UA" w:eastAsia="en-US" w:bidi="ar-SA"/>
      </w:rPr>
    </w:lvl>
    <w:lvl w:ilvl="3">
      <w:start w:val="0"/>
      <w:numFmt w:val="bullet"/>
      <w:lvlText w:val="•"/>
      <w:lvlJc w:val="left"/>
      <w:pPr>
        <w:ind w:left="3039" w:hanging="140"/>
      </w:pPr>
      <w:rPr>
        <w:rFonts w:hint="default"/>
        <w:lang w:val="uk-UA" w:eastAsia="en-US" w:bidi="ar-SA"/>
      </w:rPr>
    </w:lvl>
    <w:lvl w:ilvl="4">
      <w:start w:val="0"/>
      <w:numFmt w:val="bullet"/>
      <w:lvlText w:val="•"/>
      <w:lvlJc w:val="left"/>
      <w:pPr>
        <w:ind w:left="3985" w:hanging="140"/>
      </w:pPr>
      <w:rPr>
        <w:rFonts w:hint="default"/>
        <w:lang w:val="uk-UA" w:eastAsia="en-US" w:bidi="ar-SA"/>
      </w:rPr>
    </w:lvl>
    <w:lvl w:ilvl="5">
      <w:start w:val="0"/>
      <w:numFmt w:val="bullet"/>
      <w:lvlText w:val="•"/>
      <w:lvlJc w:val="left"/>
      <w:pPr>
        <w:ind w:left="4932" w:hanging="140"/>
      </w:pPr>
      <w:rPr>
        <w:rFonts w:hint="default"/>
        <w:lang w:val="uk-UA" w:eastAsia="en-US" w:bidi="ar-SA"/>
      </w:rPr>
    </w:lvl>
    <w:lvl w:ilvl="6">
      <w:start w:val="0"/>
      <w:numFmt w:val="bullet"/>
      <w:lvlText w:val="•"/>
      <w:lvlJc w:val="left"/>
      <w:pPr>
        <w:ind w:left="5878" w:hanging="140"/>
      </w:pPr>
      <w:rPr>
        <w:rFonts w:hint="default"/>
        <w:lang w:val="uk-UA" w:eastAsia="en-US" w:bidi="ar-SA"/>
      </w:rPr>
    </w:lvl>
    <w:lvl w:ilvl="7">
      <w:start w:val="0"/>
      <w:numFmt w:val="bullet"/>
      <w:lvlText w:val="•"/>
      <w:lvlJc w:val="left"/>
      <w:pPr>
        <w:ind w:left="6824" w:hanging="140"/>
      </w:pPr>
      <w:rPr>
        <w:rFonts w:hint="default"/>
        <w:lang w:val="uk-UA" w:eastAsia="en-US" w:bidi="ar-SA"/>
      </w:rPr>
    </w:lvl>
    <w:lvl w:ilvl="8">
      <w:start w:val="0"/>
      <w:numFmt w:val="bullet"/>
      <w:lvlText w:val="•"/>
      <w:lvlJc w:val="left"/>
      <w:pPr>
        <w:ind w:left="7771" w:hanging="140"/>
      </w:pPr>
      <w:rPr>
        <w:rFonts w:hint="default"/>
        <w:lang w:val="uk-UA" w:eastAsia="en-US" w:bidi="ar-SA"/>
      </w:rPr>
    </w:lvl>
  </w:abstractNum>
  <w:abstractNum w:abstractNumId="0">
    <w:multiLevelType w:val="hybridMultilevel"/>
    <w:lvl w:ilvl="0">
      <w:start w:val="2"/>
      <w:numFmt w:val="upperRoman"/>
      <w:lvlText w:val="%1."/>
      <w:lvlJc w:val="left"/>
      <w:pPr>
        <w:ind w:left="199" w:hanging="422"/>
        <w:jc w:val="left"/>
      </w:pPr>
      <w:rPr>
        <w:rFonts w:hint="default" w:ascii="Times New Roman" w:hAnsi="Times New Roman" w:eastAsia="Times New Roman" w:cs="Times New Roman"/>
        <w:b/>
        <w:bCs/>
        <w:spacing w:val="0"/>
        <w:w w:val="99"/>
        <w:sz w:val="28"/>
        <w:szCs w:val="28"/>
        <w:lang w:val="uk-UA" w:eastAsia="en-US" w:bidi="ar-SA"/>
      </w:rPr>
    </w:lvl>
    <w:lvl w:ilvl="1">
      <w:start w:val="4"/>
      <w:numFmt w:val="upperRoman"/>
      <w:lvlText w:val="%2."/>
      <w:lvlJc w:val="left"/>
      <w:pPr>
        <w:ind w:left="2351" w:hanging="384"/>
        <w:jc w:val="right"/>
      </w:pPr>
      <w:rPr>
        <w:rFonts w:hint="default" w:ascii="Times New Roman" w:hAnsi="Times New Roman" w:eastAsia="Times New Roman" w:cs="Times New Roman"/>
        <w:b/>
        <w:bCs/>
        <w:spacing w:val="-1"/>
        <w:w w:val="99"/>
        <w:sz w:val="26"/>
        <w:szCs w:val="26"/>
        <w:lang w:val="uk-UA" w:eastAsia="en-US" w:bidi="ar-SA"/>
      </w:rPr>
    </w:lvl>
    <w:lvl w:ilvl="2">
      <w:start w:val="0"/>
      <w:numFmt w:val="bullet"/>
      <w:lvlText w:val="•"/>
      <w:lvlJc w:val="left"/>
      <w:pPr>
        <w:ind w:left="3171" w:hanging="384"/>
      </w:pPr>
      <w:rPr>
        <w:rFonts w:hint="default"/>
        <w:lang w:val="uk-UA" w:eastAsia="en-US" w:bidi="ar-SA"/>
      </w:rPr>
    </w:lvl>
    <w:lvl w:ilvl="3">
      <w:start w:val="0"/>
      <w:numFmt w:val="bullet"/>
      <w:lvlText w:val="•"/>
      <w:lvlJc w:val="left"/>
      <w:pPr>
        <w:ind w:left="3983" w:hanging="384"/>
      </w:pPr>
      <w:rPr>
        <w:rFonts w:hint="default"/>
        <w:lang w:val="uk-UA" w:eastAsia="en-US" w:bidi="ar-SA"/>
      </w:rPr>
    </w:lvl>
    <w:lvl w:ilvl="4">
      <w:start w:val="0"/>
      <w:numFmt w:val="bullet"/>
      <w:lvlText w:val="•"/>
      <w:lvlJc w:val="left"/>
      <w:pPr>
        <w:ind w:left="4794" w:hanging="384"/>
      </w:pPr>
      <w:rPr>
        <w:rFonts w:hint="default"/>
        <w:lang w:val="uk-UA" w:eastAsia="en-US" w:bidi="ar-SA"/>
      </w:rPr>
    </w:lvl>
    <w:lvl w:ilvl="5">
      <w:start w:val="0"/>
      <w:numFmt w:val="bullet"/>
      <w:lvlText w:val="•"/>
      <w:lvlJc w:val="left"/>
      <w:pPr>
        <w:ind w:left="5606" w:hanging="384"/>
      </w:pPr>
      <w:rPr>
        <w:rFonts w:hint="default"/>
        <w:lang w:val="uk-UA" w:eastAsia="en-US" w:bidi="ar-SA"/>
      </w:rPr>
    </w:lvl>
    <w:lvl w:ilvl="6">
      <w:start w:val="0"/>
      <w:numFmt w:val="bullet"/>
      <w:lvlText w:val="•"/>
      <w:lvlJc w:val="left"/>
      <w:pPr>
        <w:ind w:left="6417" w:hanging="384"/>
      </w:pPr>
      <w:rPr>
        <w:rFonts w:hint="default"/>
        <w:lang w:val="uk-UA" w:eastAsia="en-US" w:bidi="ar-SA"/>
      </w:rPr>
    </w:lvl>
    <w:lvl w:ilvl="7">
      <w:start w:val="0"/>
      <w:numFmt w:val="bullet"/>
      <w:lvlText w:val="•"/>
      <w:lvlJc w:val="left"/>
      <w:pPr>
        <w:ind w:left="7229" w:hanging="384"/>
      </w:pPr>
      <w:rPr>
        <w:rFonts w:hint="default"/>
        <w:lang w:val="uk-UA" w:eastAsia="en-US" w:bidi="ar-SA"/>
      </w:rPr>
    </w:lvl>
    <w:lvl w:ilvl="8">
      <w:start w:val="0"/>
      <w:numFmt w:val="bullet"/>
      <w:lvlText w:val="•"/>
      <w:lvlJc w:val="left"/>
      <w:pPr>
        <w:ind w:left="8040" w:hanging="384"/>
      </w:pPr>
      <w:rPr>
        <w:rFonts w:hint="default"/>
        <w:lang w:val="uk-UA"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99"/>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ind w:left="910"/>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spacing w:before="1" w:line="319" w:lineRule="exact"/>
      <w:ind w:left="410" w:hanging="212"/>
      <w:jc w:val="both"/>
      <w:outlineLvl w:val="2"/>
    </w:pPr>
    <w:rPr>
      <w:rFonts w:ascii="Times New Roman" w:hAnsi="Times New Roman" w:eastAsia="Times New Roman" w:cs="Times New Roman"/>
      <w:b/>
      <w:bCs/>
      <w:i/>
      <w:sz w:val="28"/>
      <w:szCs w:val="28"/>
      <w:lang w:val="uk-UA" w:eastAsia="en-US" w:bidi="ar-SA"/>
    </w:rPr>
  </w:style>
  <w:style w:styleId="ListParagraph" w:type="paragraph">
    <w:name w:val="List Paragraph"/>
    <w:basedOn w:val="Normal"/>
    <w:uiPriority w:val="1"/>
    <w:qFormat/>
    <w:pPr>
      <w:spacing w:before="201"/>
      <w:ind w:left="199" w:firstLine="566"/>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spacing w:line="315" w:lineRule="exact"/>
      <w:ind w:left="110"/>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fcfactorgroup@gmail.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dcterms:created xsi:type="dcterms:W3CDTF">2020-04-30T16:48:16Z</dcterms:created>
  <dcterms:modified xsi:type="dcterms:W3CDTF">2020-04-30T16:48:16Z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2020-02-28T00:00:00Z</vt:filetime>
  </property>
  <property fmtid="{D5CDD505-2E9C-101B-9397-08002B2CF9AE}" pid="3" name="Creator">
    <vt:lpwstr>Microsoft® Word 2016</vt:lpwstr>
  </property>
  <property fmtid="{D5CDD505-2E9C-101B-9397-08002B2CF9AE}" pid="4" name="LastSaved">
    <vt:filetime>2020-04-30T00:00:00Z</vt:filetime>
  </property>
</Properties>
</file>